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60" w:rsidRDefault="00F74B60" w:rsidP="00204AD5">
      <w:pPr>
        <w:pStyle w:val="Zhlav"/>
        <w:spacing w:after="120"/>
        <w:jc w:val="center"/>
        <w:rPr>
          <w:sz w:val="28"/>
        </w:rPr>
      </w:pPr>
      <w:r>
        <w:rPr>
          <w:noProof/>
          <w:sz w:val="28"/>
        </w:rPr>
        <w:drawing>
          <wp:inline distT="0" distB="0" distL="0" distR="0">
            <wp:extent cx="954405" cy="1081405"/>
            <wp:effectExtent l="0" t="0" r="0" b="4445"/>
            <wp:docPr id="1" name="obrázek 1" descr="x5_9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_93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1081405"/>
                    </a:xfrm>
                    <a:prstGeom prst="rect">
                      <a:avLst/>
                    </a:prstGeom>
                    <a:noFill/>
                    <a:ln>
                      <a:noFill/>
                    </a:ln>
                  </pic:spPr>
                </pic:pic>
              </a:graphicData>
            </a:graphic>
          </wp:inline>
        </w:drawing>
      </w:r>
    </w:p>
    <w:p w:rsidR="00F74B60" w:rsidRPr="00DB3A81" w:rsidRDefault="00F74B60" w:rsidP="00204AD5">
      <w:pPr>
        <w:pStyle w:val="Zhlav"/>
        <w:tabs>
          <w:tab w:val="clear" w:pos="4536"/>
          <w:tab w:val="clear" w:pos="9072"/>
        </w:tabs>
        <w:spacing w:after="120"/>
        <w:jc w:val="center"/>
        <w:rPr>
          <w:spacing w:val="60"/>
          <w:sz w:val="32"/>
          <w:szCs w:val="32"/>
        </w:rPr>
      </w:pPr>
      <w:r w:rsidRPr="00DB3A81">
        <w:rPr>
          <w:spacing w:val="60"/>
          <w:sz w:val="32"/>
          <w:szCs w:val="32"/>
        </w:rPr>
        <w:t>ČESKÁ REPUBLIKA</w:t>
      </w:r>
    </w:p>
    <w:p w:rsidR="00F74B60" w:rsidRPr="00DB3A81" w:rsidRDefault="00F74B60" w:rsidP="00204AD5">
      <w:pPr>
        <w:pStyle w:val="Zhlav"/>
        <w:tabs>
          <w:tab w:val="clear" w:pos="4536"/>
          <w:tab w:val="clear" w:pos="9072"/>
        </w:tabs>
        <w:spacing w:after="120"/>
        <w:jc w:val="center"/>
        <w:rPr>
          <w:spacing w:val="70"/>
          <w:sz w:val="60"/>
          <w:szCs w:val="60"/>
        </w:rPr>
      </w:pPr>
      <w:r w:rsidRPr="00DB3A81">
        <w:rPr>
          <w:spacing w:val="100"/>
          <w:sz w:val="60"/>
          <w:szCs w:val="60"/>
        </w:rPr>
        <w:t>NÁLEZ</w:t>
      </w:r>
    </w:p>
    <w:p w:rsidR="00F74B60" w:rsidRPr="00596607" w:rsidRDefault="00F74B60" w:rsidP="00204AD5">
      <w:pPr>
        <w:pStyle w:val="Zhlav"/>
        <w:tabs>
          <w:tab w:val="clear" w:pos="4536"/>
          <w:tab w:val="clear" w:pos="9072"/>
        </w:tabs>
        <w:spacing w:after="120"/>
        <w:jc w:val="center"/>
        <w:rPr>
          <w:spacing w:val="60"/>
          <w:sz w:val="28"/>
          <w:szCs w:val="28"/>
        </w:rPr>
      </w:pPr>
      <w:r w:rsidRPr="00596607">
        <w:rPr>
          <w:spacing w:val="60"/>
          <w:sz w:val="28"/>
          <w:szCs w:val="28"/>
        </w:rPr>
        <w:t>Ústavního soudu</w:t>
      </w:r>
    </w:p>
    <w:p w:rsidR="00F74B60" w:rsidRDefault="00F74B60" w:rsidP="00204AD5">
      <w:pPr>
        <w:pStyle w:val="Zhlav"/>
        <w:tabs>
          <w:tab w:val="clear" w:pos="4536"/>
          <w:tab w:val="clear" w:pos="9072"/>
        </w:tabs>
        <w:spacing w:after="120"/>
        <w:jc w:val="center"/>
        <w:rPr>
          <w:spacing w:val="80"/>
          <w:sz w:val="28"/>
          <w:szCs w:val="28"/>
        </w:rPr>
      </w:pPr>
      <w:r w:rsidRPr="00DB3A81">
        <w:rPr>
          <w:spacing w:val="80"/>
          <w:sz w:val="28"/>
          <w:szCs w:val="28"/>
        </w:rPr>
        <w:t>Jménem republiky</w:t>
      </w:r>
    </w:p>
    <w:p w:rsidR="00204AD5" w:rsidRPr="00DB3A81" w:rsidRDefault="00204AD5" w:rsidP="00204AD5">
      <w:pPr>
        <w:pStyle w:val="Zhlav"/>
        <w:tabs>
          <w:tab w:val="clear" w:pos="4536"/>
          <w:tab w:val="clear" w:pos="9072"/>
        </w:tabs>
        <w:spacing w:after="120"/>
        <w:jc w:val="center"/>
        <w:rPr>
          <w:spacing w:val="80"/>
        </w:rPr>
      </w:pPr>
    </w:p>
    <w:p w:rsidR="006C24F3" w:rsidRDefault="006C24F3" w:rsidP="00204AD5">
      <w:pPr>
        <w:spacing w:after="120"/>
        <w:ind w:firstLine="284"/>
        <w:jc w:val="both"/>
        <w:rPr>
          <w:szCs w:val="24"/>
        </w:rPr>
      </w:pPr>
      <w:r w:rsidRPr="00F5180A">
        <w:rPr>
          <w:szCs w:val="24"/>
        </w:rPr>
        <w:tab/>
      </w:r>
      <w:r w:rsidR="002B0C30">
        <w:t xml:space="preserve">Ústavní soud rozhodl mimo ústní jednání v senátu složeném z předsedy </w:t>
      </w:r>
      <w:r w:rsidR="00F74B60">
        <w:t xml:space="preserve">Radovana Suchánka </w:t>
      </w:r>
      <w:r>
        <w:t xml:space="preserve">a soudců Vojtěcha </w:t>
      </w:r>
      <w:proofErr w:type="spellStart"/>
      <w:r>
        <w:t>Šimíčka</w:t>
      </w:r>
      <w:proofErr w:type="spellEnd"/>
      <w:r>
        <w:t xml:space="preserve"> (soudce zpravodaj) a </w:t>
      </w:r>
      <w:r w:rsidR="00F74B60">
        <w:t xml:space="preserve">Jiřího Zemánka </w:t>
      </w:r>
      <w:r>
        <w:t xml:space="preserve">ve věci ústavní stížnosti </w:t>
      </w:r>
      <w:r w:rsidR="008E363D">
        <w:t>stěžovatel</w:t>
      </w:r>
      <w:r w:rsidR="005A42D7">
        <w:t xml:space="preserve">e </w:t>
      </w:r>
      <w:r w:rsidR="00856AF5" w:rsidRPr="00856AF5">
        <w:rPr>
          <w:b/>
        </w:rPr>
        <w:t>Fakultní nemocnice Olomouc</w:t>
      </w:r>
      <w:r w:rsidR="00F9341A">
        <w:rPr>
          <w:b/>
        </w:rPr>
        <w:t xml:space="preserve"> </w:t>
      </w:r>
      <w:r w:rsidR="00856AF5" w:rsidRPr="00856AF5">
        <w:t>se sídlem I. P. Pavlova 185/6, Olomouc - Nová Ulice</w:t>
      </w:r>
      <w:r w:rsidR="001253A7">
        <w:t xml:space="preserve">, </w:t>
      </w:r>
      <w:r w:rsidR="008E363D">
        <w:t>zastoupené</w:t>
      </w:r>
      <w:r w:rsidR="005A42D7">
        <w:t xml:space="preserve">ho </w:t>
      </w:r>
      <w:r w:rsidR="00856AF5" w:rsidRPr="00856AF5">
        <w:t>JUDr. Karlem Vítkem, advokátem se sídlem Dobrovského 25</w:t>
      </w:r>
      <w:r w:rsidRPr="00C50A6B">
        <w:t>,</w:t>
      </w:r>
      <w:r w:rsidRPr="00A26D83">
        <w:t xml:space="preserve"> </w:t>
      </w:r>
      <w:r w:rsidR="00856AF5" w:rsidRPr="00856AF5">
        <w:t xml:space="preserve">Olomouc, </w:t>
      </w:r>
      <w:r w:rsidR="006B06F5" w:rsidRPr="00EA164A">
        <w:rPr>
          <w:bCs/>
        </w:rPr>
        <w:t xml:space="preserve">proti usnesení Okresního soudu v Olomouci ze dne 16. 4. 2014, č. </w:t>
      </w:r>
      <w:proofErr w:type="spellStart"/>
      <w:r w:rsidR="006B06F5" w:rsidRPr="00EA164A">
        <w:rPr>
          <w:bCs/>
        </w:rPr>
        <w:t>j</w:t>
      </w:r>
      <w:proofErr w:type="spellEnd"/>
      <w:r w:rsidR="006B06F5" w:rsidRPr="00EA164A">
        <w:rPr>
          <w:bCs/>
        </w:rPr>
        <w:t xml:space="preserve">. O </w:t>
      </w:r>
      <w:proofErr w:type="spellStart"/>
      <w:r w:rsidR="006B06F5" w:rsidRPr="00EA164A">
        <w:rPr>
          <w:bCs/>
        </w:rPr>
        <w:t>Nt</w:t>
      </w:r>
      <w:proofErr w:type="spellEnd"/>
      <w:r w:rsidR="006B06F5" w:rsidRPr="00EA164A">
        <w:rPr>
          <w:bCs/>
        </w:rPr>
        <w:t xml:space="preserve"> 1930/2014–4, a </w:t>
      </w:r>
      <w:r w:rsidR="00EA164A" w:rsidRPr="00EA164A">
        <w:rPr>
          <w:bCs/>
        </w:rPr>
        <w:t xml:space="preserve">proti </w:t>
      </w:r>
      <w:r w:rsidR="006B06F5" w:rsidRPr="00EA164A">
        <w:rPr>
          <w:bCs/>
        </w:rPr>
        <w:t>usnesení Policie České republiky ze dne 3. 3. 2014, č.</w:t>
      </w:r>
      <w:r w:rsidR="00F74B60" w:rsidRPr="00EA164A">
        <w:rPr>
          <w:bCs/>
        </w:rPr>
        <w:t xml:space="preserve"> </w:t>
      </w:r>
      <w:proofErr w:type="spellStart"/>
      <w:r w:rsidR="006B06F5" w:rsidRPr="00EA164A">
        <w:rPr>
          <w:bCs/>
        </w:rPr>
        <w:t>j</w:t>
      </w:r>
      <w:proofErr w:type="spellEnd"/>
      <w:r w:rsidR="006B06F5" w:rsidRPr="00EA164A">
        <w:rPr>
          <w:bCs/>
        </w:rPr>
        <w:t>. KRPM-4676-21/TČ-2014-140516</w:t>
      </w:r>
      <w:r>
        <w:t>,</w:t>
      </w:r>
      <w:r w:rsidR="005A42D7">
        <w:t xml:space="preserve"> za účasti </w:t>
      </w:r>
      <w:r w:rsidR="006B06F5">
        <w:t xml:space="preserve">Okresního soudu v Olomouci a Policie České republiky </w:t>
      </w:r>
      <w:r w:rsidR="00F848BF">
        <w:t>jako</w:t>
      </w:r>
      <w:r w:rsidR="006E093B">
        <w:t xml:space="preserve"> </w:t>
      </w:r>
      <w:r w:rsidR="00F848BF">
        <w:t>účastník</w:t>
      </w:r>
      <w:r w:rsidR="00C50A6B">
        <w:t>ů</w:t>
      </w:r>
      <w:r w:rsidR="006B06F5">
        <w:t xml:space="preserve"> řízení</w:t>
      </w:r>
      <w:r w:rsidR="00EE6801">
        <w:t>,</w:t>
      </w:r>
      <w:r w:rsidR="00F74B60">
        <w:t xml:space="preserve"> </w:t>
      </w:r>
    </w:p>
    <w:p w:rsidR="006C24F3" w:rsidRPr="00F5180A" w:rsidRDefault="006C24F3" w:rsidP="00D01C93">
      <w:pPr>
        <w:spacing w:before="120"/>
        <w:ind w:firstLine="284"/>
        <w:jc w:val="center"/>
        <w:rPr>
          <w:szCs w:val="24"/>
        </w:rPr>
      </w:pPr>
      <w:proofErr w:type="gramStart"/>
      <w:r w:rsidRPr="00F5180A">
        <w:rPr>
          <w:szCs w:val="24"/>
        </w:rPr>
        <w:t>t a k t o :</w:t>
      </w:r>
      <w:proofErr w:type="gramEnd"/>
    </w:p>
    <w:p w:rsidR="00754A89" w:rsidRDefault="00754A89" w:rsidP="00D01C93">
      <w:pPr>
        <w:ind w:firstLine="284"/>
        <w:rPr>
          <w:b/>
        </w:rPr>
      </w:pPr>
    </w:p>
    <w:p w:rsidR="006C3FE8" w:rsidRPr="006C3FE8" w:rsidRDefault="006C3FE8" w:rsidP="00EA164A">
      <w:pPr>
        <w:pStyle w:val="Nadpis1"/>
        <w:numPr>
          <w:ilvl w:val="0"/>
          <w:numId w:val="16"/>
        </w:numPr>
        <w:spacing w:after="120"/>
        <w:ind w:left="0" w:firstLine="0"/>
        <w:rPr>
          <w:szCs w:val="24"/>
        </w:rPr>
      </w:pPr>
      <w:r>
        <w:rPr>
          <w:szCs w:val="24"/>
        </w:rPr>
        <w:t>U</w:t>
      </w:r>
      <w:r w:rsidRPr="006C3FE8">
        <w:rPr>
          <w:szCs w:val="24"/>
        </w:rPr>
        <w:t>snesení</w:t>
      </w:r>
      <w:r>
        <w:rPr>
          <w:szCs w:val="24"/>
        </w:rPr>
        <w:t>m</w:t>
      </w:r>
      <w:r w:rsidRPr="006C3FE8">
        <w:rPr>
          <w:szCs w:val="24"/>
        </w:rPr>
        <w:t xml:space="preserve"> Okresního soudu v Olomouci ze dne 16. 4. 2014, č. </w:t>
      </w:r>
      <w:proofErr w:type="spellStart"/>
      <w:r w:rsidRPr="006C3FE8">
        <w:rPr>
          <w:szCs w:val="24"/>
        </w:rPr>
        <w:t>j</w:t>
      </w:r>
      <w:proofErr w:type="spellEnd"/>
      <w:r w:rsidRPr="006C3FE8">
        <w:rPr>
          <w:szCs w:val="24"/>
        </w:rPr>
        <w:t xml:space="preserve">. </w:t>
      </w:r>
      <w:r w:rsidR="00BB1804">
        <w:rPr>
          <w:szCs w:val="24"/>
        </w:rPr>
        <w:t>0</w:t>
      </w:r>
      <w:r w:rsidRPr="006C3FE8">
        <w:rPr>
          <w:szCs w:val="24"/>
        </w:rPr>
        <w:t xml:space="preserve"> </w:t>
      </w:r>
      <w:proofErr w:type="spellStart"/>
      <w:r w:rsidRPr="006C3FE8">
        <w:rPr>
          <w:szCs w:val="24"/>
        </w:rPr>
        <w:t>Nt</w:t>
      </w:r>
      <w:proofErr w:type="spellEnd"/>
      <w:r w:rsidRPr="006C3FE8">
        <w:rPr>
          <w:szCs w:val="24"/>
        </w:rPr>
        <w:t xml:space="preserve"> 1930/2014 – 4, a usnesení</w:t>
      </w:r>
      <w:r>
        <w:rPr>
          <w:szCs w:val="24"/>
        </w:rPr>
        <w:t>m</w:t>
      </w:r>
      <w:r w:rsidRPr="006C3FE8">
        <w:rPr>
          <w:szCs w:val="24"/>
        </w:rPr>
        <w:t xml:space="preserve"> Policie České republiky ze dne 3. 3. 2014, č. </w:t>
      </w:r>
      <w:proofErr w:type="spellStart"/>
      <w:r w:rsidRPr="006C3FE8">
        <w:rPr>
          <w:szCs w:val="24"/>
        </w:rPr>
        <w:t>j</w:t>
      </w:r>
      <w:proofErr w:type="spellEnd"/>
      <w:r w:rsidRPr="006C3FE8">
        <w:rPr>
          <w:szCs w:val="24"/>
        </w:rPr>
        <w:t>. KRPM-4676-21/TČ-2014-140516</w:t>
      </w:r>
      <w:r>
        <w:rPr>
          <w:szCs w:val="24"/>
        </w:rPr>
        <w:t xml:space="preserve">, </w:t>
      </w:r>
      <w:r w:rsidRPr="00C21B25">
        <w:rPr>
          <w:szCs w:val="24"/>
        </w:rPr>
        <w:t xml:space="preserve">bylo </w:t>
      </w:r>
      <w:r w:rsidRPr="00C21B25">
        <w:rPr>
          <w:spacing w:val="60"/>
          <w:szCs w:val="24"/>
        </w:rPr>
        <w:t>porušeno</w:t>
      </w:r>
      <w:r w:rsidRPr="00C21B25">
        <w:rPr>
          <w:szCs w:val="24"/>
        </w:rPr>
        <w:t xml:space="preserve"> právo </w:t>
      </w:r>
      <w:r>
        <w:rPr>
          <w:szCs w:val="24"/>
        </w:rPr>
        <w:t xml:space="preserve">stěžovatele na ochranu vlastnictví zaručené čl. 11 </w:t>
      </w:r>
      <w:r w:rsidR="00EB2294">
        <w:rPr>
          <w:szCs w:val="24"/>
        </w:rPr>
        <w:t xml:space="preserve">odst. 1 </w:t>
      </w:r>
      <w:r w:rsidRPr="00C21B25">
        <w:rPr>
          <w:szCs w:val="24"/>
        </w:rPr>
        <w:t>Listiny základních práv a svobod</w:t>
      </w:r>
      <w:r>
        <w:rPr>
          <w:szCs w:val="24"/>
        </w:rPr>
        <w:t>.</w:t>
      </w:r>
    </w:p>
    <w:p w:rsidR="006C3FE8" w:rsidRDefault="006C3FE8" w:rsidP="00EA164A">
      <w:pPr>
        <w:numPr>
          <w:ilvl w:val="0"/>
          <w:numId w:val="16"/>
        </w:numPr>
        <w:spacing w:after="120"/>
        <w:ind w:left="0" w:firstLine="0"/>
        <w:jc w:val="both"/>
        <w:rPr>
          <w:b/>
          <w:szCs w:val="24"/>
        </w:rPr>
      </w:pPr>
      <w:r>
        <w:rPr>
          <w:b/>
          <w:szCs w:val="24"/>
        </w:rPr>
        <w:t>Tato</w:t>
      </w:r>
      <w:r w:rsidRPr="00C21B25">
        <w:rPr>
          <w:b/>
          <w:szCs w:val="24"/>
        </w:rPr>
        <w:t xml:space="preserve"> rozhodnutí se </w:t>
      </w:r>
      <w:proofErr w:type="gramStart"/>
      <w:r w:rsidRPr="00C21B25">
        <w:rPr>
          <w:b/>
          <w:szCs w:val="24"/>
        </w:rPr>
        <w:t xml:space="preserve">proto  </w:t>
      </w:r>
      <w:r w:rsidRPr="00C21B25">
        <w:rPr>
          <w:b/>
          <w:spacing w:val="60"/>
          <w:szCs w:val="24"/>
        </w:rPr>
        <w:t>ruší</w:t>
      </w:r>
      <w:proofErr w:type="gramEnd"/>
      <w:r w:rsidRPr="00C21B25">
        <w:rPr>
          <w:b/>
          <w:szCs w:val="24"/>
        </w:rPr>
        <w:t xml:space="preserve">. </w:t>
      </w:r>
    </w:p>
    <w:p w:rsidR="000028F3" w:rsidRDefault="000028F3" w:rsidP="000028F3">
      <w:pPr>
        <w:ind w:firstLine="284"/>
        <w:rPr>
          <w:b/>
        </w:rPr>
      </w:pPr>
    </w:p>
    <w:p w:rsidR="005D45C1" w:rsidRPr="000217FC" w:rsidRDefault="000F2C39" w:rsidP="00EA164A">
      <w:pPr>
        <w:tabs>
          <w:tab w:val="left" w:pos="3645"/>
        </w:tabs>
        <w:ind w:firstLine="284"/>
        <w:rPr>
          <w:szCs w:val="24"/>
        </w:rPr>
      </w:pPr>
      <w:r>
        <w:rPr>
          <w:b/>
        </w:rPr>
        <w:tab/>
      </w:r>
      <w:proofErr w:type="gramStart"/>
      <w:r w:rsidR="005D45C1">
        <w:t>O d ů v o d n ě n í :</w:t>
      </w:r>
      <w:proofErr w:type="gramEnd"/>
      <w:r w:rsidR="005D45C1">
        <w:br/>
      </w:r>
    </w:p>
    <w:p w:rsidR="00A26D83" w:rsidRPr="000E7EC8" w:rsidRDefault="00A26D83" w:rsidP="00EA164A">
      <w:pPr>
        <w:spacing w:before="120"/>
        <w:jc w:val="center"/>
        <w:rPr>
          <w:b/>
          <w:szCs w:val="24"/>
        </w:rPr>
      </w:pPr>
      <w:r w:rsidRPr="000E7EC8">
        <w:rPr>
          <w:b/>
          <w:szCs w:val="24"/>
        </w:rPr>
        <w:t>I. Podstatný obsah ústavní stížnosti</w:t>
      </w:r>
    </w:p>
    <w:p w:rsidR="00A26D83" w:rsidRPr="00A9653F" w:rsidRDefault="00A26D83" w:rsidP="00A9653F">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0E7EC8">
        <w:rPr>
          <w:szCs w:val="24"/>
        </w:rPr>
        <w:t xml:space="preserve">Ústavní stížností doručenou Ústavnímu soudu dne </w:t>
      </w:r>
      <w:r w:rsidR="00523412">
        <w:rPr>
          <w:szCs w:val="24"/>
        </w:rPr>
        <w:t>16. 6</w:t>
      </w:r>
      <w:r w:rsidRPr="000E7EC8">
        <w:rPr>
          <w:szCs w:val="24"/>
        </w:rPr>
        <w:t>. 2014</w:t>
      </w:r>
      <w:r>
        <w:rPr>
          <w:szCs w:val="24"/>
        </w:rPr>
        <w:t xml:space="preserve"> </w:t>
      </w:r>
      <w:r w:rsidRPr="000E7EC8">
        <w:rPr>
          <w:szCs w:val="24"/>
        </w:rPr>
        <w:t>se stěžovatel domáh</w:t>
      </w:r>
      <w:r w:rsidR="002803D8">
        <w:rPr>
          <w:szCs w:val="24"/>
        </w:rPr>
        <w:t>al</w:t>
      </w:r>
      <w:r w:rsidRPr="000E7EC8">
        <w:rPr>
          <w:szCs w:val="24"/>
        </w:rPr>
        <w:t xml:space="preserve"> zrušení v záhlaví citovan</w:t>
      </w:r>
      <w:r w:rsidR="00523412">
        <w:rPr>
          <w:szCs w:val="24"/>
        </w:rPr>
        <w:t>é</w:t>
      </w:r>
      <w:r w:rsidRPr="000E7EC8">
        <w:rPr>
          <w:szCs w:val="24"/>
        </w:rPr>
        <w:t>h</w:t>
      </w:r>
      <w:r w:rsidR="00523412">
        <w:rPr>
          <w:szCs w:val="24"/>
        </w:rPr>
        <w:t>o</w:t>
      </w:r>
      <w:r w:rsidRPr="000E7EC8">
        <w:rPr>
          <w:szCs w:val="24"/>
        </w:rPr>
        <w:t xml:space="preserve"> rozhodnutí </w:t>
      </w:r>
      <w:r w:rsidR="00A9653F">
        <w:rPr>
          <w:szCs w:val="24"/>
        </w:rPr>
        <w:t>Okresního soudu v Olomouci</w:t>
      </w:r>
      <w:r w:rsidR="00544040">
        <w:rPr>
          <w:szCs w:val="24"/>
        </w:rPr>
        <w:t xml:space="preserve"> a </w:t>
      </w:r>
      <w:r w:rsidR="00A9653F" w:rsidRPr="006B06F5">
        <w:t>Policie České republiky, Krajské</w:t>
      </w:r>
      <w:r w:rsidR="00A9653F">
        <w:t>ho</w:t>
      </w:r>
      <w:r w:rsidR="00A9653F" w:rsidRPr="006B06F5">
        <w:t xml:space="preserve"> ředitelství policie</w:t>
      </w:r>
      <w:r w:rsidR="00A9653F">
        <w:t xml:space="preserve"> </w:t>
      </w:r>
      <w:r w:rsidR="00A9653F" w:rsidRPr="006B06F5">
        <w:t>Olomouckého kraje, Územní odbor Olomouc, Obvodní</w:t>
      </w:r>
      <w:r w:rsidR="00A9653F">
        <w:t xml:space="preserve"> </w:t>
      </w:r>
      <w:r w:rsidR="00A9653F" w:rsidRPr="006B06F5">
        <w:t xml:space="preserve">oddělení </w:t>
      </w:r>
      <w:r w:rsidR="00A9653F">
        <w:t xml:space="preserve">v </w:t>
      </w:r>
      <w:r w:rsidR="00A9653F" w:rsidRPr="006B06F5">
        <w:t>Olomouci</w:t>
      </w:r>
      <w:r w:rsidR="00A9653F" w:rsidRPr="00A9653F">
        <w:rPr>
          <w:szCs w:val="24"/>
        </w:rPr>
        <w:t xml:space="preserve"> </w:t>
      </w:r>
      <w:r w:rsidR="00A9653F">
        <w:rPr>
          <w:szCs w:val="24"/>
        </w:rPr>
        <w:t xml:space="preserve">(dále jen „Policie“), </w:t>
      </w:r>
      <w:r w:rsidRPr="00A9653F">
        <w:rPr>
          <w:szCs w:val="24"/>
        </w:rPr>
        <w:t xml:space="preserve">neboť má za to, že </w:t>
      </w:r>
      <w:r w:rsidR="00544040" w:rsidRPr="00A9653F">
        <w:rPr>
          <w:szCs w:val="24"/>
        </w:rPr>
        <w:t>jimi</w:t>
      </w:r>
      <w:r w:rsidRPr="00A9653F">
        <w:rPr>
          <w:szCs w:val="24"/>
        </w:rPr>
        <w:t xml:space="preserve"> bylo porušeno jeho základní právo </w:t>
      </w:r>
      <w:r w:rsidR="00B137E9" w:rsidRPr="00A9653F">
        <w:rPr>
          <w:szCs w:val="24"/>
        </w:rPr>
        <w:t xml:space="preserve">zakotvené v </w:t>
      </w:r>
      <w:r>
        <w:t xml:space="preserve">čl. </w:t>
      </w:r>
      <w:r w:rsidR="00B137E9">
        <w:t>2 odst. 2 a odst. 3 a čl. 4</w:t>
      </w:r>
      <w:r>
        <w:t xml:space="preserve"> odst. 1 Listiny základních práv a svobod </w:t>
      </w:r>
      <w:r w:rsidRPr="00A9653F">
        <w:rPr>
          <w:szCs w:val="24"/>
        </w:rPr>
        <w:t xml:space="preserve">(dále jen „Listina“) a čl. </w:t>
      </w:r>
      <w:r w:rsidR="00B137E9" w:rsidRPr="00A9653F">
        <w:rPr>
          <w:szCs w:val="24"/>
        </w:rPr>
        <w:t>90 odst. 1 Ústavy České republiky</w:t>
      </w:r>
      <w:r w:rsidRPr="00A9653F">
        <w:rPr>
          <w:szCs w:val="24"/>
        </w:rPr>
        <w:t>.</w:t>
      </w:r>
    </w:p>
    <w:p w:rsidR="0034364F" w:rsidRPr="00894909" w:rsidRDefault="00A26D83"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006603">
        <w:rPr>
          <w:szCs w:val="24"/>
        </w:rPr>
        <w:t>Stěžovatel</w:t>
      </w:r>
      <w:r w:rsidR="0034364F" w:rsidRPr="0034364F">
        <w:t xml:space="preserve"> </w:t>
      </w:r>
      <w:r w:rsidR="0034364F" w:rsidRPr="0034364F">
        <w:rPr>
          <w:szCs w:val="24"/>
        </w:rPr>
        <w:t>je toho názoru, že napaden</w:t>
      </w:r>
      <w:r w:rsidR="00544040">
        <w:rPr>
          <w:szCs w:val="24"/>
        </w:rPr>
        <w:t>á</w:t>
      </w:r>
      <w:r w:rsidR="0034364F" w:rsidRPr="0034364F">
        <w:rPr>
          <w:szCs w:val="24"/>
        </w:rPr>
        <w:t xml:space="preserve"> rozhodnutí </w:t>
      </w:r>
      <w:r w:rsidR="00544040">
        <w:rPr>
          <w:szCs w:val="24"/>
        </w:rPr>
        <w:t xml:space="preserve">jsou </w:t>
      </w:r>
      <w:r w:rsidR="0034364F" w:rsidRPr="0034364F">
        <w:rPr>
          <w:szCs w:val="24"/>
        </w:rPr>
        <w:t>v přímém rozporu s</w:t>
      </w:r>
      <w:r w:rsidR="00545338">
        <w:rPr>
          <w:szCs w:val="24"/>
        </w:rPr>
        <w:t>e zásadou, podle níž každý může</w:t>
      </w:r>
      <w:r w:rsidR="0034364F" w:rsidRPr="0034364F">
        <w:rPr>
          <w:szCs w:val="24"/>
        </w:rPr>
        <w:t xml:space="preserve"> činit, co není zákonem zakázáno</w:t>
      </w:r>
      <w:r w:rsidR="00D50957">
        <w:rPr>
          <w:szCs w:val="24"/>
        </w:rPr>
        <w:t>,</w:t>
      </w:r>
      <w:r w:rsidR="0034364F" w:rsidRPr="0034364F">
        <w:rPr>
          <w:szCs w:val="24"/>
        </w:rPr>
        <w:t xml:space="preserve"> a </w:t>
      </w:r>
      <w:r w:rsidR="00545338">
        <w:rPr>
          <w:szCs w:val="24"/>
        </w:rPr>
        <w:t>nesmí</w:t>
      </w:r>
      <w:r w:rsidR="0034364F" w:rsidRPr="0034364F">
        <w:rPr>
          <w:szCs w:val="24"/>
        </w:rPr>
        <w:t xml:space="preserve"> být nucen činit</w:t>
      </w:r>
      <w:r w:rsidR="00D50957">
        <w:rPr>
          <w:szCs w:val="24"/>
        </w:rPr>
        <w:t>,</w:t>
      </w:r>
      <w:r w:rsidR="0034364F" w:rsidRPr="0034364F">
        <w:rPr>
          <w:szCs w:val="24"/>
        </w:rPr>
        <w:t xml:space="preserve"> co zákon neukládá. Napadené rozhodnutí</w:t>
      </w:r>
      <w:r w:rsidR="00544040">
        <w:rPr>
          <w:szCs w:val="24"/>
        </w:rPr>
        <w:t xml:space="preserve"> okresního soudu</w:t>
      </w:r>
      <w:r w:rsidR="0034364F" w:rsidRPr="0034364F">
        <w:rPr>
          <w:szCs w:val="24"/>
        </w:rPr>
        <w:t xml:space="preserve">, kterým byla zamítnuta </w:t>
      </w:r>
      <w:r w:rsidR="00D07A5F">
        <w:rPr>
          <w:szCs w:val="24"/>
        </w:rPr>
        <w:t xml:space="preserve">jeho </w:t>
      </w:r>
      <w:r w:rsidR="0034364F" w:rsidRPr="0034364F">
        <w:rPr>
          <w:szCs w:val="24"/>
        </w:rPr>
        <w:t xml:space="preserve">stížnost proti uložení pořádkové pokuty pro neposkytnutí součinnosti, </w:t>
      </w:r>
      <w:r w:rsidR="00545338">
        <w:rPr>
          <w:szCs w:val="24"/>
        </w:rPr>
        <w:t xml:space="preserve">totiž </w:t>
      </w:r>
      <w:r w:rsidR="0034364F" w:rsidRPr="0034364F">
        <w:rPr>
          <w:szCs w:val="24"/>
        </w:rPr>
        <w:t xml:space="preserve">ve své podstatě </w:t>
      </w:r>
      <w:r w:rsidR="00D50957">
        <w:rPr>
          <w:szCs w:val="24"/>
        </w:rPr>
        <w:t>postuluje</w:t>
      </w:r>
      <w:r w:rsidR="0034364F" w:rsidRPr="0034364F">
        <w:rPr>
          <w:szCs w:val="24"/>
        </w:rPr>
        <w:t xml:space="preserve">, že stěžovatel (zdravotnické zařízení) je nucen poskytnout policejnímu orgánu jako orgánu činnému v trestním řízení součinnost, ačkoliv mu </w:t>
      </w:r>
      <w:r w:rsidR="00D07A5F" w:rsidRPr="0034364F">
        <w:rPr>
          <w:szCs w:val="24"/>
        </w:rPr>
        <w:t xml:space="preserve">zákon </w:t>
      </w:r>
      <w:r w:rsidR="0034364F" w:rsidRPr="0034364F">
        <w:rPr>
          <w:szCs w:val="24"/>
        </w:rPr>
        <w:t>t</w:t>
      </w:r>
      <w:r w:rsidR="00544040">
        <w:rPr>
          <w:szCs w:val="24"/>
        </w:rPr>
        <w:t>akovou povinnost neukládá, respektive</w:t>
      </w:r>
      <w:r w:rsidR="0034364F" w:rsidRPr="0034364F">
        <w:rPr>
          <w:szCs w:val="24"/>
        </w:rPr>
        <w:t xml:space="preserve"> zvláštní zákon, kterým je zákon č. 372/2011 Sb., </w:t>
      </w:r>
      <w:r w:rsidR="00894909" w:rsidRPr="00894909">
        <w:rPr>
          <w:szCs w:val="24"/>
        </w:rPr>
        <w:t xml:space="preserve">o zdravotních službách a </w:t>
      </w:r>
      <w:r w:rsidR="00894909" w:rsidRPr="00894909">
        <w:rPr>
          <w:szCs w:val="24"/>
        </w:rPr>
        <w:lastRenderedPageBreak/>
        <w:t>podmínkách jejich poskytování</w:t>
      </w:r>
      <w:r w:rsidR="00894909">
        <w:rPr>
          <w:szCs w:val="24"/>
        </w:rPr>
        <w:t xml:space="preserve"> </w:t>
      </w:r>
      <w:r w:rsidR="0034364F" w:rsidRPr="00894909">
        <w:rPr>
          <w:szCs w:val="24"/>
        </w:rPr>
        <w:t>(zákon o zdravotních služb</w:t>
      </w:r>
      <w:r w:rsidR="00894909">
        <w:rPr>
          <w:szCs w:val="24"/>
        </w:rPr>
        <w:t>ách</w:t>
      </w:r>
      <w:r w:rsidR="0034364F" w:rsidRPr="00894909">
        <w:rPr>
          <w:szCs w:val="24"/>
        </w:rPr>
        <w:t>)</w:t>
      </w:r>
      <w:r w:rsidR="00D44D82" w:rsidRPr="00894909">
        <w:rPr>
          <w:szCs w:val="24"/>
        </w:rPr>
        <w:t>,</w:t>
      </w:r>
      <w:r w:rsidR="0034364F" w:rsidRPr="00894909">
        <w:rPr>
          <w:szCs w:val="24"/>
        </w:rPr>
        <w:t xml:space="preserve"> takový postup dokonce neumožňuje. </w:t>
      </w:r>
    </w:p>
    <w:p w:rsidR="0034364F" w:rsidRDefault="0034364F"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34364F">
        <w:rPr>
          <w:szCs w:val="24"/>
        </w:rPr>
        <w:t xml:space="preserve">V této souvislosti stěžovatel zdůrazňuje, že pro prolomení mlčenlivosti k zákonem chráněným údajům pacientů je nezbytný předchozí souhlas soudce ve smyslu ustanovení § 8 odst. 5 trestního řádu, a to především </w:t>
      </w:r>
      <w:r w:rsidR="00D50957">
        <w:rPr>
          <w:szCs w:val="24"/>
        </w:rPr>
        <w:t xml:space="preserve">s </w:t>
      </w:r>
      <w:r w:rsidRPr="0034364F">
        <w:rPr>
          <w:szCs w:val="24"/>
        </w:rPr>
        <w:t>ohledem na ochranu práv pacientů, zejména před neoprávněným zasahováním do</w:t>
      </w:r>
      <w:r w:rsidR="006C3E6D">
        <w:rPr>
          <w:szCs w:val="24"/>
        </w:rPr>
        <w:t xml:space="preserve"> jejich</w:t>
      </w:r>
      <w:r w:rsidRPr="0034364F">
        <w:rPr>
          <w:szCs w:val="24"/>
        </w:rPr>
        <w:t xml:space="preserve"> soukromí a před neoprávněným shromažďováním, zveřejňován</w:t>
      </w:r>
      <w:r w:rsidR="00D07A5F">
        <w:rPr>
          <w:szCs w:val="24"/>
        </w:rPr>
        <w:t>ím nebo jiným zneužíváním údajů</w:t>
      </w:r>
      <w:r w:rsidR="00F07FF4">
        <w:rPr>
          <w:szCs w:val="24"/>
        </w:rPr>
        <w:t>,</w:t>
      </w:r>
      <w:r w:rsidRPr="0034364F">
        <w:rPr>
          <w:szCs w:val="24"/>
        </w:rPr>
        <w:t xml:space="preserve"> zaručen</w:t>
      </w:r>
      <w:r w:rsidR="00F07FF4">
        <w:rPr>
          <w:szCs w:val="24"/>
        </w:rPr>
        <w:t>ou</w:t>
      </w:r>
      <w:r w:rsidRPr="0034364F">
        <w:rPr>
          <w:szCs w:val="24"/>
        </w:rPr>
        <w:t xml:space="preserve"> </w:t>
      </w:r>
      <w:r w:rsidR="00D07A5F">
        <w:rPr>
          <w:szCs w:val="24"/>
        </w:rPr>
        <w:t>čl.</w:t>
      </w:r>
      <w:r w:rsidRPr="0034364F">
        <w:rPr>
          <w:szCs w:val="24"/>
        </w:rPr>
        <w:t xml:space="preserve"> 10 odst. 2</w:t>
      </w:r>
      <w:r w:rsidR="00D07A5F">
        <w:rPr>
          <w:szCs w:val="24"/>
        </w:rPr>
        <w:t xml:space="preserve"> a</w:t>
      </w:r>
      <w:r w:rsidRPr="0034364F">
        <w:rPr>
          <w:szCs w:val="24"/>
        </w:rPr>
        <w:t xml:space="preserve"> odst. 3 Listiny. V tomto svém postoji se </w:t>
      </w:r>
      <w:r w:rsidR="00D07A5F">
        <w:rPr>
          <w:szCs w:val="24"/>
        </w:rPr>
        <w:t xml:space="preserve">stěžovatel </w:t>
      </w:r>
      <w:r w:rsidRPr="0034364F">
        <w:rPr>
          <w:szCs w:val="24"/>
        </w:rPr>
        <w:t>dovolává též stanovis</w:t>
      </w:r>
      <w:r w:rsidR="00D07A5F">
        <w:rPr>
          <w:szCs w:val="24"/>
        </w:rPr>
        <w:t>e</w:t>
      </w:r>
      <w:r w:rsidRPr="0034364F">
        <w:rPr>
          <w:szCs w:val="24"/>
        </w:rPr>
        <w:t>k Nejvyššího státního zastupitelství, Ministerstva zdravotnictví, Ministerstva spravedlnosti či České lékařské komory, kter</w:t>
      </w:r>
      <w:r w:rsidR="00D07A5F">
        <w:rPr>
          <w:szCs w:val="24"/>
        </w:rPr>
        <w:t>á</w:t>
      </w:r>
      <w:r w:rsidR="006C3E6D">
        <w:rPr>
          <w:szCs w:val="24"/>
        </w:rPr>
        <w:t>,</w:t>
      </w:r>
      <w:r w:rsidRPr="0034364F">
        <w:rPr>
          <w:szCs w:val="24"/>
        </w:rPr>
        <w:t xml:space="preserve"> dle jeho názoru</w:t>
      </w:r>
      <w:r w:rsidR="006C3E6D">
        <w:rPr>
          <w:szCs w:val="24"/>
        </w:rPr>
        <w:t>,</w:t>
      </w:r>
      <w:r w:rsidRPr="0034364F">
        <w:rPr>
          <w:szCs w:val="24"/>
        </w:rPr>
        <w:t xml:space="preserve"> potvrdil</w:t>
      </w:r>
      <w:r w:rsidR="00D07A5F">
        <w:rPr>
          <w:szCs w:val="24"/>
        </w:rPr>
        <w:t>a</w:t>
      </w:r>
      <w:r w:rsidRPr="0034364F">
        <w:rPr>
          <w:szCs w:val="24"/>
        </w:rPr>
        <w:t xml:space="preserve"> správnost jeho výkladu. Stěžovatel </w:t>
      </w:r>
      <w:r w:rsidR="00AE3BB8">
        <w:rPr>
          <w:szCs w:val="24"/>
        </w:rPr>
        <w:t>poukazuje rovněž na důvodovou</w:t>
      </w:r>
      <w:r w:rsidRPr="0034364F">
        <w:rPr>
          <w:szCs w:val="24"/>
        </w:rPr>
        <w:t xml:space="preserve"> zpráv</w:t>
      </w:r>
      <w:r w:rsidR="00AE3BB8">
        <w:rPr>
          <w:szCs w:val="24"/>
        </w:rPr>
        <w:t>u</w:t>
      </w:r>
      <w:r w:rsidRPr="0034364F">
        <w:rPr>
          <w:szCs w:val="24"/>
        </w:rPr>
        <w:t xml:space="preserve"> k zákonu o </w:t>
      </w:r>
      <w:r w:rsidR="00894909" w:rsidRPr="00894909">
        <w:rPr>
          <w:szCs w:val="24"/>
        </w:rPr>
        <w:t>zdravotních služb</w:t>
      </w:r>
      <w:r w:rsidR="00894909">
        <w:rPr>
          <w:szCs w:val="24"/>
        </w:rPr>
        <w:t>ách</w:t>
      </w:r>
      <w:r w:rsidRPr="0034364F">
        <w:rPr>
          <w:szCs w:val="24"/>
        </w:rPr>
        <w:t xml:space="preserve">, která nikterak nezmiňuje, že by po </w:t>
      </w:r>
      <w:r w:rsidR="00AE3BB8">
        <w:rPr>
          <w:szCs w:val="24"/>
        </w:rPr>
        <w:t>jeho</w:t>
      </w:r>
      <w:r w:rsidRPr="0034364F">
        <w:rPr>
          <w:szCs w:val="24"/>
        </w:rPr>
        <w:t xml:space="preserve"> vstupu v účinnost měli poskytovatelé zdravotnických služeb sdělovat údaje nebo jiné skutečnosti pro potřeby trestního řízení bez předchozího souhlasu soudu. </w:t>
      </w:r>
      <w:r w:rsidR="00AE3BB8">
        <w:rPr>
          <w:szCs w:val="24"/>
        </w:rPr>
        <w:t xml:space="preserve"> Upozorňuje </w:t>
      </w:r>
      <w:r w:rsidR="006C3E6D" w:rsidRPr="0034364F">
        <w:rPr>
          <w:szCs w:val="24"/>
        </w:rPr>
        <w:t xml:space="preserve">též </w:t>
      </w:r>
      <w:r w:rsidR="00AE3BB8">
        <w:rPr>
          <w:szCs w:val="24"/>
        </w:rPr>
        <w:t xml:space="preserve">na </w:t>
      </w:r>
      <w:r w:rsidR="006C3E6D" w:rsidRPr="0034364F">
        <w:rPr>
          <w:szCs w:val="24"/>
        </w:rPr>
        <w:t xml:space="preserve">nález zdejšího soudu ze dne 27. 11. 2012, </w:t>
      </w:r>
      <w:proofErr w:type="spellStart"/>
      <w:r w:rsidR="006C3E6D" w:rsidRPr="0034364F">
        <w:rPr>
          <w:szCs w:val="24"/>
        </w:rPr>
        <w:t>sp</w:t>
      </w:r>
      <w:proofErr w:type="spellEnd"/>
      <w:r w:rsidR="006C3E6D" w:rsidRPr="0034364F">
        <w:rPr>
          <w:szCs w:val="24"/>
        </w:rPr>
        <w:t xml:space="preserve">. zn. </w:t>
      </w:r>
      <w:proofErr w:type="spellStart"/>
      <w:r w:rsidR="006C3E6D" w:rsidRPr="0034364F">
        <w:rPr>
          <w:szCs w:val="24"/>
        </w:rPr>
        <w:t>Pl</w:t>
      </w:r>
      <w:proofErr w:type="spellEnd"/>
      <w:r w:rsidR="006C3E6D" w:rsidRPr="0034364F">
        <w:rPr>
          <w:szCs w:val="24"/>
        </w:rPr>
        <w:t>. ÚS 1/12</w:t>
      </w:r>
      <w:r w:rsidR="00AE3BB8">
        <w:rPr>
          <w:szCs w:val="24"/>
        </w:rPr>
        <w:t xml:space="preserve"> (veškerá judikatura Ústavního soudu je dostupná na http://nalus.usoud.cz)</w:t>
      </w:r>
      <w:r w:rsidR="006C3E6D" w:rsidRPr="0034364F">
        <w:rPr>
          <w:szCs w:val="24"/>
        </w:rPr>
        <w:t xml:space="preserve">, v němž </w:t>
      </w:r>
      <w:r w:rsidR="006C3E6D">
        <w:rPr>
          <w:szCs w:val="24"/>
        </w:rPr>
        <w:t xml:space="preserve">Ústavní </w:t>
      </w:r>
      <w:r w:rsidR="006C3E6D" w:rsidRPr="0034364F">
        <w:rPr>
          <w:szCs w:val="24"/>
        </w:rPr>
        <w:t xml:space="preserve">soud </w:t>
      </w:r>
      <w:r w:rsidR="00AE3BB8">
        <w:rPr>
          <w:szCs w:val="24"/>
        </w:rPr>
        <w:t>uvedl</w:t>
      </w:r>
      <w:r w:rsidR="006C3E6D" w:rsidRPr="0034364F">
        <w:rPr>
          <w:szCs w:val="24"/>
        </w:rPr>
        <w:t>, že ke sdělování informací dle ustanovení § 51 odst. 2 písm. d) část</w:t>
      </w:r>
      <w:r w:rsidR="00EB2294">
        <w:rPr>
          <w:szCs w:val="24"/>
        </w:rPr>
        <w:t>i</w:t>
      </w:r>
      <w:r w:rsidR="006C3E6D" w:rsidRPr="0034364F">
        <w:rPr>
          <w:szCs w:val="24"/>
        </w:rPr>
        <w:t xml:space="preserve"> před středníkem zákona o </w:t>
      </w:r>
      <w:r w:rsidR="006C3E6D" w:rsidRPr="00894909">
        <w:rPr>
          <w:szCs w:val="24"/>
        </w:rPr>
        <w:t>zdravotních služb</w:t>
      </w:r>
      <w:r w:rsidR="006C3E6D">
        <w:rPr>
          <w:szCs w:val="24"/>
        </w:rPr>
        <w:t>ách</w:t>
      </w:r>
      <w:r w:rsidR="006C3E6D" w:rsidRPr="0034364F">
        <w:rPr>
          <w:szCs w:val="24"/>
        </w:rPr>
        <w:t xml:space="preserve"> musí dojít v souladu s ustanovením § 8 odst. 5 trestního řádu se souhlasem soudce. </w:t>
      </w:r>
      <w:r w:rsidR="006C3E6D">
        <w:rPr>
          <w:szCs w:val="24"/>
        </w:rPr>
        <w:t>Dále</w:t>
      </w:r>
      <w:r w:rsidRPr="0034364F">
        <w:rPr>
          <w:szCs w:val="24"/>
        </w:rPr>
        <w:t xml:space="preserve"> stěžovatel upozorňuje, že některá jiná zdravotnická zařízení uvedené informace nadále sdělují pouze po předchozím povolení soudu</w:t>
      </w:r>
      <w:r w:rsidR="00D44D82">
        <w:rPr>
          <w:szCs w:val="24"/>
        </w:rPr>
        <w:t>, a proto tento postup považuje za zavedenou praxi</w:t>
      </w:r>
      <w:r w:rsidRPr="0034364F">
        <w:rPr>
          <w:szCs w:val="24"/>
        </w:rPr>
        <w:t xml:space="preserve">. </w:t>
      </w:r>
      <w:r w:rsidR="006C3E6D">
        <w:rPr>
          <w:szCs w:val="24"/>
        </w:rPr>
        <w:t>Ostatně i</w:t>
      </w:r>
      <w:r w:rsidRPr="0034364F">
        <w:rPr>
          <w:szCs w:val="24"/>
        </w:rPr>
        <w:t xml:space="preserve"> policejní orgán před uložením pořádkové pokuty nejdříve požádal o předchozí souhlas so</w:t>
      </w:r>
      <w:r w:rsidR="00D50957">
        <w:rPr>
          <w:szCs w:val="24"/>
        </w:rPr>
        <w:t>udce dle ustanovení § 8 odst. 5</w:t>
      </w:r>
      <w:r w:rsidRPr="0034364F">
        <w:rPr>
          <w:szCs w:val="24"/>
        </w:rPr>
        <w:t xml:space="preserve"> trestního řádu, a teprve poté vznesl požadavek </w:t>
      </w:r>
      <w:r w:rsidR="00D50957">
        <w:rPr>
          <w:szCs w:val="24"/>
        </w:rPr>
        <w:t>na</w:t>
      </w:r>
      <w:r w:rsidRPr="0034364F">
        <w:rPr>
          <w:szCs w:val="24"/>
        </w:rPr>
        <w:t xml:space="preserve"> poskytnutí informací bez tohoto souhlasu. </w:t>
      </w:r>
    </w:p>
    <w:p w:rsidR="0034364F" w:rsidRPr="0034364F" w:rsidRDefault="0034364F"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34364F">
        <w:rPr>
          <w:szCs w:val="24"/>
        </w:rPr>
        <w:t xml:space="preserve">Stěžovatel uzavírá, že když odmítl poskytnout </w:t>
      </w:r>
      <w:r w:rsidR="00D44D82">
        <w:rPr>
          <w:szCs w:val="24"/>
        </w:rPr>
        <w:t xml:space="preserve">policejnímu orgánu </w:t>
      </w:r>
      <w:r w:rsidRPr="0034364F">
        <w:rPr>
          <w:szCs w:val="24"/>
        </w:rPr>
        <w:t xml:space="preserve">součinnost, </w:t>
      </w:r>
      <w:r w:rsidR="00AE3BB8">
        <w:rPr>
          <w:szCs w:val="24"/>
        </w:rPr>
        <w:t>postupoval</w:t>
      </w:r>
      <w:r w:rsidRPr="0034364F">
        <w:rPr>
          <w:szCs w:val="24"/>
        </w:rPr>
        <w:t xml:space="preserve"> zcela po právu, avšak v důsledku napadeného rozhodnutí je nucen činit, co mu zákon neukládá. Interpretaci obsaženou v rozhodnutí okresního soudu tedy považuje za překvapivou, extenzivní (neboť svým rozhodnutím soud uplatnil státní moc mimo meze zákona) a rozpornou s právními předpisy, </w:t>
      </w:r>
      <w:r w:rsidR="00D44D82">
        <w:rPr>
          <w:szCs w:val="24"/>
        </w:rPr>
        <w:t>jež by navíc</w:t>
      </w:r>
      <w:r w:rsidRPr="0034364F">
        <w:rPr>
          <w:szCs w:val="24"/>
        </w:rPr>
        <w:t xml:space="preserve"> ve svém důsledku měla výrazný dopad do osobnostních práv pacientů. Proto považuje za zásadní, zda Ústavní soud dá přednost veřejnému zájmu na odhalení trestné činnosti před zájmem na ochranu osobních údajů pacientů či nikoliv. </w:t>
      </w:r>
    </w:p>
    <w:p w:rsidR="00A26D83" w:rsidRDefault="00A26D83" w:rsidP="00EA164A">
      <w:pPr>
        <w:tabs>
          <w:tab w:val="num" w:pos="0"/>
          <w:tab w:val="left" w:pos="360"/>
        </w:tabs>
        <w:spacing w:before="120"/>
        <w:rPr>
          <w:szCs w:val="24"/>
        </w:rPr>
      </w:pPr>
    </w:p>
    <w:p w:rsidR="00A26D83" w:rsidRPr="00AA42A3" w:rsidRDefault="00A26D83" w:rsidP="00EA164A">
      <w:pPr>
        <w:tabs>
          <w:tab w:val="left" w:pos="360"/>
        </w:tabs>
        <w:spacing w:before="120"/>
        <w:jc w:val="center"/>
        <w:rPr>
          <w:b/>
          <w:szCs w:val="24"/>
        </w:rPr>
      </w:pPr>
      <w:r w:rsidRPr="00AA42A3">
        <w:rPr>
          <w:b/>
          <w:szCs w:val="24"/>
        </w:rPr>
        <w:t>II. Splnění podmínek řízení</w:t>
      </w:r>
    </w:p>
    <w:p w:rsidR="00A26D83" w:rsidRDefault="00A26D83"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t>Ústavní stížnost je přípustná (</w:t>
      </w:r>
      <w:r w:rsidRPr="00C21B25">
        <w:rPr>
          <w:szCs w:val="24"/>
        </w:rPr>
        <w:t xml:space="preserve">§ 75 odst. 1 </w:t>
      </w:r>
      <w:r w:rsidRPr="003A4332">
        <w:rPr>
          <w:i/>
          <w:szCs w:val="24"/>
        </w:rPr>
        <w:t xml:space="preserve">a </w:t>
      </w:r>
      <w:proofErr w:type="spellStart"/>
      <w:r w:rsidRPr="003A4332">
        <w:rPr>
          <w:i/>
          <w:szCs w:val="24"/>
        </w:rPr>
        <w:t>contrario</w:t>
      </w:r>
      <w:proofErr w:type="spellEnd"/>
      <w:r w:rsidRPr="00C21B25">
        <w:rPr>
          <w:szCs w:val="24"/>
        </w:rPr>
        <w:t xml:space="preserve"> zákona č. 182/1993 Sb., o Ústavním soudu</w:t>
      </w:r>
      <w:r>
        <w:rPr>
          <w:szCs w:val="24"/>
        </w:rPr>
        <w:t xml:space="preserve">, ve znění pozdějších předpisů, </w:t>
      </w:r>
      <w:r w:rsidRPr="00C21B25">
        <w:rPr>
          <w:szCs w:val="24"/>
        </w:rPr>
        <w:t>dále jen „zákon o Ústavním soudu“</w:t>
      </w:r>
      <w:r>
        <w:rPr>
          <w:szCs w:val="24"/>
        </w:rPr>
        <w:t>)</w:t>
      </w:r>
      <w:r w:rsidRPr="00C21B25">
        <w:rPr>
          <w:szCs w:val="24"/>
        </w:rPr>
        <w:t xml:space="preserve">, byla podána včas </w:t>
      </w:r>
      <w:r>
        <w:rPr>
          <w:szCs w:val="24"/>
        </w:rPr>
        <w:t>(</w:t>
      </w:r>
      <w:r w:rsidRPr="00C21B25">
        <w:rPr>
          <w:szCs w:val="24"/>
        </w:rPr>
        <w:t xml:space="preserve">§ 72 odst. </w:t>
      </w:r>
      <w:r>
        <w:rPr>
          <w:szCs w:val="24"/>
        </w:rPr>
        <w:t>3</w:t>
      </w:r>
      <w:r w:rsidRPr="00C21B25">
        <w:rPr>
          <w:szCs w:val="24"/>
        </w:rPr>
        <w:t xml:space="preserve"> zákona o</w:t>
      </w:r>
      <w:r>
        <w:rPr>
          <w:szCs w:val="24"/>
        </w:rPr>
        <w:t> </w:t>
      </w:r>
      <w:r w:rsidRPr="00C21B25">
        <w:rPr>
          <w:szCs w:val="24"/>
        </w:rPr>
        <w:t>Ústavním soudu</w:t>
      </w:r>
      <w:r>
        <w:rPr>
          <w:szCs w:val="24"/>
        </w:rPr>
        <w:t>)</w:t>
      </w:r>
      <w:r w:rsidRPr="00C21B25">
        <w:rPr>
          <w:szCs w:val="24"/>
        </w:rPr>
        <w:t xml:space="preserve"> a splňuje ostatní náležitosti vyžadované zákonem [§ 30 odst. 1, § 72 odst. 1 písm. a) zákona o</w:t>
      </w:r>
      <w:r>
        <w:rPr>
          <w:szCs w:val="24"/>
        </w:rPr>
        <w:t> </w:t>
      </w:r>
      <w:r w:rsidRPr="00C21B25">
        <w:rPr>
          <w:szCs w:val="24"/>
        </w:rPr>
        <w:t xml:space="preserve">Ústavním soudu]. </w:t>
      </w:r>
    </w:p>
    <w:p w:rsidR="00A26D83" w:rsidRDefault="00A26D83" w:rsidP="00EA164A">
      <w:pPr>
        <w:spacing w:before="120"/>
        <w:jc w:val="center"/>
        <w:rPr>
          <w:szCs w:val="24"/>
        </w:rPr>
      </w:pPr>
    </w:p>
    <w:p w:rsidR="00A26D83" w:rsidRPr="00AA42A3" w:rsidRDefault="00A26D83" w:rsidP="00EA164A">
      <w:pPr>
        <w:spacing w:before="120"/>
        <w:jc w:val="center"/>
        <w:rPr>
          <w:b/>
          <w:szCs w:val="24"/>
        </w:rPr>
      </w:pPr>
      <w:r w:rsidRPr="00AA42A3">
        <w:rPr>
          <w:b/>
          <w:szCs w:val="24"/>
        </w:rPr>
        <w:t>III. Vyjádření účastníků řízení</w:t>
      </w:r>
      <w:r w:rsidR="00284412">
        <w:rPr>
          <w:b/>
          <w:szCs w:val="24"/>
        </w:rPr>
        <w:t xml:space="preserve"> a replika stěžovatele</w:t>
      </w:r>
    </w:p>
    <w:p w:rsidR="00A26D83" w:rsidRDefault="00A26D83"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bookmarkStart w:id="0" w:name="_Ref173121289"/>
      <w:r w:rsidRPr="00421DB0">
        <w:rPr>
          <w:szCs w:val="24"/>
        </w:rPr>
        <w:t>K výzvě Ústavního soudu se k</w:t>
      </w:r>
      <w:r>
        <w:rPr>
          <w:szCs w:val="24"/>
        </w:rPr>
        <w:t xml:space="preserve"> ústavní stížnosti</w:t>
      </w:r>
      <w:r w:rsidRPr="00421DB0">
        <w:rPr>
          <w:szCs w:val="24"/>
        </w:rPr>
        <w:t xml:space="preserve"> vyjádřil</w:t>
      </w:r>
      <w:r>
        <w:rPr>
          <w:szCs w:val="24"/>
        </w:rPr>
        <w:t xml:space="preserve"> </w:t>
      </w:r>
      <w:r w:rsidR="00AE3BB8">
        <w:rPr>
          <w:szCs w:val="24"/>
        </w:rPr>
        <w:t>O</w:t>
      </w:r>
      <w:r w:rsidR="00166FCB">
        <w:rPr>
          <w:szCs w:val="24"/>
        </w:rPr>
        <w:t>kresní soud</w:t>
      </w:r>
      <w:r>
        <w:rPr>
          <w:szCs w:val="24"/>
        </w:rPr>
        <w:t xml:space="preserve"> </w:t>
      </w:r>
      <w:r w:rsidR="00AE3BB8">
        <w:rPr>
          <w:szCs w:val="24"/>
        </w:rPr>
        <w:t xml:space="preserve">v Olomouci </w:t>
      </w:r>
      <w:r w:rsidR="00166FCB">
        <w:rPr>
          <w:szCs w:val="24"/>
        </w:rPr>
        <w:t xml:space="preserve">a </w:t>
      </w:r>
      <w:r w:rsidR="00856AF5">
        <w:rPr>
          <w:szCs w:val="24"/>
        </w:rPr>
        <w:t>Policie</w:t>
      </w:r>
      <w:r w:rsidR="00AE3BB8">
        <w:rPr>
          <w:szCs w:val="24"/>
        </w:rPr>
        <w:t>.</w:t>
      </w:r>
    </w:p>
    <w:p w:rsidR="00A26D83" w:rsidRDefault="00166FCB"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t xml:space="preserve">Okresní </w:t>
      </w:r>
      <w:r w:rsidR="00A26D83" w:rsidRPr="002E3F43">
        <w:rPr>
          <w:szCs w:val="24"/>
        </w:rPr>
        <w:t xml:space="preserve">soud </w:t>
      </w:r>
      <w:r>
        <w:rPr>
          <w:szCs w:val="24"/>
        </w:rPr>
        <w:t>shledal podanou ústavní stížnost nedůvodnou a navrhl její odmítnutí pro zjevnou neopodstatněnost. V podrobnostech odkázal na odůvodnění napadeného rozhodnutí</w:t>
      </w:r>
      <w:r w:rsidR="00A26D83">
        <w:rPr>
          <w:szCs w:val="24"/>
        </w:rPr>
        <w:t xml:space="preserve">. </w:t>
      </w:r>
    </w:p>
    <w:p w:rsidR="00166FCB" w:rsidRDefault="00D44D82"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t>Polic</w:t>
      </w:r>
      <w:r w:rsidR="00AE3BB8">
        <w:rPr>
          <w:szCs w:val="24"/>
        </w:rPr>
        <w:t>ie</w:t>
      </w:r>
      <w:r w:rsidR="00166FCB">
        <w:rPr>
          <w:szCs w:val="24"/>
        </w:rPr>
        <w:t xml:space="preserve"> ve svém obšírném vyjádření předně </w:t>
      </w:r>
      <w:r w:rsidR="00723DA6">
        <w:rPr>
          <w:szCs w:val="24"/>
        </w:rPr>
        <w:t>zpochybnil</w:t>
      </w:r>
      <w:r w:rsidR="00AE3BB8">
        <w:rPr>
          <w:szCs w:val="24"/>
        </w:rPr>
        <w:t>a</w:t>
      </w:r>
      <w:r w:rsidR="00AC5A0B">
        <w:rPr>
          <w:szCs w:val="24"/>
        </w:rPr>
        <w:t xml:space="preserve">, zda Listina </w:t>
      </w:r>
      <w:r w:rsidR="00B04A23">
        <w:rPr>
          <w:szCs w:val="24"/>
        </w:rPr>
        <w:t xml:space="preserve">stěžovateli </w:t>
      </w:r>
      <w:r w:rsidR="00AC5A0B">
        <w:rPr>
          <w:szCs w:val="24"/>
        </w:rPr>
        <w:t xml:space="preserve">vůbec </w:t>
      </w:r>
      <w:r w:rsidR="00AE3BB8">
        <w:rPr>
          <w:szCs w:val="24"/>
        </w:rPr>
        <w:t>zaručuje</w:t>
      </w:r>
      <w:r w:rsidR="00AC5A0B">
        <w:rPr>
          <w:szCs w:val="24"/>
        </w:rPr>
        <w:t xml:space="preserve"> právo na ochranu osobní autonomie, respektive autonomie vůle soukromých osob. Dosp</w:t>
      </w:r>
      <w:r w:rsidR="00B04A23">
        <w:rPr>
          <w:szCs w:val="24"/>
        </w:rPr>
        <w:t>ěl</w:t>
      </w:r>
      <w:r w:rsidR="00AC5A0B">
        <w:rPr>
          <w:szCs w:val="24"/>
        </w:rPr>
        <w:t xml:space="preserve"> </w:t>
      </w:r>
      <w:r w:rsidR="00B04A23">
        <w:rPr>
          <w:szCs w:val="24"/>
        </w:rPr>
        <w:t>totiž</w:t>
      </w:r>
      <w:r w:rsidR="00AC5A0B">
        <w:rPr>
          <w:szCs w:val="24"/>
        </w:rPr>
        <w:t xml:space="preserve"> k závěru,</w:t>
      </w:r>
      <w:r w:rsidR="00B04A23">
        <w:rPr>
          <w:szCs w:val="24"/>
        </w:rPr>
        <w:t xml:space="preserve"> že stěžovatel (jako nemocniční zařízení</w:t>
      </w:r>
      <w:r w:rsidR="00AC5A0B">
        <w:rPr>
          <w:szCs w:val="24"/>
        </w:rPr>
        <w:t xml:space="preserve">) je orgánem veřejné správy, </w:t>
      </w:r>
      <w:r w:rsidR="00AC5A0B">
        <w:rPr>
          <w:szCs w:val="24"/>
        </w:rPr>
        <w:lastRenderedPageBreak/>
        <w:t xml:space="preserve">jehož zřizovatelem je stát, </w:t>
      </w:r>
      <w:r w:rsidR="000D4138">
        <w:rPr>
          <w:szCs w:val="24"/>
        </w:rPr>
        <w:t>jemuž Listina ochr</w:t>
      </w:r>
      <w:r w:rsidR="00B04A23">
        <w:rPr>
          <w:szCs w:val="24"/>
        </w:rPr>
        <w:t xml:space="preserve">anu osobní autonomie nepřiznává. Proto </w:t>
      </w:r>
      <w:r w:rsidR="00AE3BB8">
        <w:rPr>
          <w:szCs w:val="24"/>
        </w:rPr>
        <w:t xml:space="preserve">prý v nyní posuzované věci ani </w:t>
      </w:r>
      <w:r w:rsidR="00B04A23">
        <w:rPr>
          <w:szCs w:val="24"/>
        </w:rPr>
        <w:t xml:space="preserve">nemohla být </w:t>
      </w:r>
      <w:r w:rsidR="000D4138">
        <w:rPr>
          <w:szCs w:val="24"/>
        </w:rPr>
        <w:t xml:space="preserve">dotčena deklarovaná základní práva stěžovatele. </w:t>
      </w:r>
    </w:p>
    <w:p w:rsidR="000D4138" w:rsidRDefault="000D4138"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bCs/>
          <w:szCs w:val="24"/>
        </w:rPr>
      </w:pPr>
      <w:r w:rsidRPr="004A6FDA">
        <w:rPr>
          <w:szCs w:val="24"/>
        </w:rPr>
        <w:t>Ve věci povinnosti mlčenlivo</w:t>
      </w:r>
      <w:r w:rsidR="008E0289" w:rsidRPr="004A6FDA">
        <w:rPr>
          <w:szCs w:val="24"/>
        </w:rPr>
        <w:t>s</w:t>
      </w:r>
      <w:r w:rsidRPr="004A6FDA">
        <w:rPr>
          <w:szCs w:val="24"/>
        </w:rPr>
        <w:t>ti</w:t>
      </w:r>
      <w:r w:rsidR="008E0289" w:rsidRPr="004A6FDA">
        <w:rPr>
          <w:szCs w:val="24"/>
        </w:rPr>
        <w:t xml:space="preserve"> </w:t>
      </w:r>
      <w:r w:rsidR="00B04A23">
        <w:rPr>
          <w:szCs w:val="24"/>
        </w:rPr>
        <w:t>při požadování informací</w:t>
      </w:r>
      <w:r w:rsidR="00AE3BB8">
        <w:rPr>
          <w:szCs w:val="24"/>
        </w:rPr>
        <w:t>,</w:t>
      </w:r>
      <w:r w:rsidR="00B04A23">
        <w:rPr>
          <w:szCs w:val="24"/>
        </w:rPr>
        <w:t xml:space="preserve"> vztahujících se</w:t>
      </w:r>
      <w:r w:rsidR="008E0289" w:rsidRPr="004A6FDA">
        <w:rPr>
          <w:szCs w:val="24"/>
        </w:rPr>
        <w:t xml:space="preserve"> k trestnímu říze</w:t>
      </w:r>
      <w:r w:rsidR="00B04A23">
        <w:rPr>
          <w:szCs w:val="24"/>
        </w:rPr>
        <w:t>ní</w:t>
      </w:r>
      <w:r w:rsidR="00AE3BB8">
        <w:rPr>
          <w:szCs w:val="24"/>
        </w:rPr>
        <w:t>,</w:t>
      </w:r>
      <w:r w:rsidR="00B04A23">
        <w:rPr>
          <w:szCs w:val="24"/>
        </w:rPr>
        <w:t xml:space="preserve"> pak </w:t>
      </w:r>
      <w:r w:rsidR="00AE3BB8">
        <w:rPr>
          <w:szCs w:val="24"/>
        </w:rPr>
        <w:t>Policie</w:t>
      </w:r>
      <w:r w:rsidR="00B04A23">
        <w:rPr>
          <w:szCs w:val="24"/>
        </w:rPr>
        <w:t xml:space="preserve"> zdůraznil</w:t>
      </w:r>
      <w:r w:rsidR="00AE3BB8">
        <w:rPr>
          <w:szCs w:val="24"/>
        </w:rPr>
        <w:t>a</w:t>
      </w:r>
      <w:r w:rsidR="008E0289" w:rsidRPr="004A6FDA">
        <w:rPr>
          <w:szCs w:val="24"/>
        </w:rPr>
        <w:t xml:space="preserve">, že přijetím zákona o </w:t>
      </w:r>
      <w:r w:rsidR="00894909" w:rsidRPr="00894909">
        <w:rPr>
          <w:szCs w:val="24"/>
        </w:rPr>
        <w:t>zdravotních služb</w:t>
      </w:r>
      <w:r w:rsidR="00894909">
        <w:rPr>
          <w:szCs w:val="24"/>
        </w:rPr>
        <w:t>ách</w:t>
      </w:r>
      <w:r w:rsidR="00894909" w:rsidRPr="004A6FDA">
        <w:rPr>
          <w:szCs w:val="24"/>
        </w:rPr>
        <w:t xml:space="preserve"> </w:t>
      </w:r>
      <w:r w:rsidR="008E0289" w:rsidRPr="004A6FDA">
        <w:rPr>
          <w:szCs w:val="24"/>
        </w:rPr>
        <w:t xml:space="preserve">zákonodárce </w:t>
      </w:r>
      <w:r w:rsidR="008E0289" w:rsidRPr="004A6FDA">
        <w:rPr>
          <w:bCs/>
          <w:szCs w:val="24"/>
        </w:rPr>
        <w:t xml:space="preserve">z povinnosti mlčenlivosti </w:t>
      </w:r>
      <w:r w:rsidR="00AE3BB8" w:rsidRPr="004A6FDA">
        <w:rPr>
          <w:bCs/>
          <w:szCs w:val="24"/>
        </w:rPr>
        <w:t xml:space="preserve">výslovně </w:t>
      </w:r>
      <w:r w:rsidR="00B04A23" w:rsidRPr="004A6FDA">
        <w:rPr>
          <w:bCs/>
          <w:szCs w:val="24"/>
        </w:rPr>
        <w:t xml:space="preserve">vyňal sdělování údajů </w:t>
      </w:r>
      <w:r w:rsidR="008E0289" w:rsidRPr="004A6FDA">
        <w:rPr>
          <w:bCs/>
          <w:szCs w:val="24"/>
        </w:rPr>
        <w:t xml:space="preserve">pro potřeby trestního řízení, čímž podstatně odlišil současnou situaci od předchozí, a zjevně </w:t>
      </w:r>
      <w:r w:rsidR="00AE3BB8">
        <w:rPr>
          <w:bCs/>
          <w:szCs w:val="24"/>
        </w:rPr>
        <w:t xml:space="preserve">tak </w:t>
      </w:r>
      <w:r w:rsidR="008E0289" w:rsidRPr="004A6FDA">
        <w:rPr>
          <w:bCs/>
          <w:szCs w:val="24"/>
        </w:rPr>
        <w:t>prolomil v těchto případech povinnost mlčenlivost</w:t>
      </w:r>
      <w:r w:rsidR="00B04A23">
        <w:rPr>
          <w:bCs/>
          <w:szCs w:val="24"/>
        </w:rPr>
        <w:t>i</w:t>
      </w:r>
      <w:r w:rsidR="008E0289" w:rsidRPr="004A6FDA">
        <w:rPr>
          <w:bCs/>
          <w:szCs w:val="24"/>
        </w:rPr>
        <w:t xml:space="preserve"> ohledně lékařského tajemství. V této souvislosti </w:t>
      </w:r>
      <w:r w:rsidR="00AE3BB8">
        <w:rPr>
          <w:bCs/>
          <w:szCs w:val="24"/>
        </w:rPr>
        <w:t xml:space="preserve">účastník řízení </w:t>
      </w:r>
      <w:r w:rsidR="00D50957">
        <w:rPr>
          <w:bCs/>
          <w:szCs w:val="24"/>
        </w:rPr>
        <w:t>upozornil</w:t>
      </w:r>
      <w:r w:rsidR="00AE3BB8">
        <w:rPr>
          <w:bCs/>
          <w:szCs w:val="24"/>
        </w:rPr>
        <w:t xml:space="preserve"> na to</w:t>
      </w:r>
      <w:r w:rsidR="00B04A23">
        <w:rPr>
          <w:bCs/>
          <w:szCs w:val="24"/>
        </w:rPr>
        <w:t>,</w:t>
      </w:r>
      <w:r w:rsidR="008E0289" w:rsidRPr="004A6FDA">
        <w:rPr>
          <w:bCs/>
          <w:szCs w:val="24"/>
        </w:rPr>
        <w:t xml:space="preserve"> </w:t>
      </w:r>
      <w:r w:rsidR="00D44D82">
        <w:rPr>
          <w:bCs/>
          <w:szCs w:val="24"/>
        </w:rPr>
        <w:t>že</w:t>
      </w:r>
      <w:r w:rsidR="00BF34E5">
        <w:rPr>
          <w:bCs/>
          <w:szCs w:val="24"/>
        </w:rPr>
        <w:t xml:space="preserve"> povolení soudu je dle ustanovení § 8 odst. 5 trestního řádu nezbytné, pokud</w:t>
      </w:r>
      <w:r w:rsidR="004A6FDA" w:rsidRPr="004A6FDA">
        <w:rPr>
          <w:bCs/>
          <w:szCs w:val="24"/>
        </w:rPr>
        <w:t xml:space="preserve"> zvláštní zákon, ačkoliv obsahuje svou vlastní úpravu institutu povinnosti mlčenlivosti, nestanovuje podmínky, za kterých lze chráněné informace pro účely trestního řízení poskytovat.</w:t>
      </w:r>
      <w:r w:rsidR="004A6FDA">
        <w:rPr>
          <w:bCs/>
          <w:szCs w:val="24"/>
        </w:rPr>
        <w:t xml:space="preserve"> </w:t>
      </w:r>
      <w:r w:rsidR="00544040">
        <w:rPr>
          <w:bCs/>
          <w:szCs w:val="24"/>
        </w:rPr>
        <w:t>U</w:t>
      </w:r>
      <w:r w:rsidR="00BF34E5">
        <w:rPr>
          <w:bCs/>
          <w:szCs w:val="24"/>
        </w:rPr>
        <w:t>stanovení</w:t>
      </w:r>
      <w:r w:rsidR="00544040">
        <w:rPr>
          <w:bCs/>
          <w:szCs w:val="24"/>
        </w:rPr>
        <w:t xml:space="preserve"> § 8 odst. 5</w:t>
      </w:r>
      <w:r w:rsidR="00BF34E5">
        <w:rPr>
          <w:bCs/>
          <w:szCs w:val="24"/>
        </w:rPr>
        <w:t xml:space="preserve"> trestního řádu m</w:t>
      </w:r>
      <w:r w:rsidR="004A6FDA">
        <w:rPr>
          <w:bCs/>
          <w:szCs w:val="24"/>
        </w:rPr>
        <w:t xml:space="preserve">á </w:t>
      </w:r>
      <w:r w:rsidR="004A6FDA" w:rsidRPr="004A6FDA">
        <w:rPr>
          <w:bCs/>
          <w:szCs w:val="24"/>
        </w:rPr>
        <w:t xml:space="preserve">tedy </w:t>
      </w:r>
      <w:r w:rsidR="004A6FDA">
        <w:rPr>
          <w:bCs/>
          <w:szCs w:val="24"/>
        </w:rPr>
        <w:t xml:space="preserve">(i dle citované judikatury Nejvyššího soudu) </w:t>
      </w:r>
      <w:r w:rsidR="004A6FDA" w:rsidRPr="004A6FDA">
        <w:rPr>
          <w:bCs/>
          <w:szCs w:val="24"/>
        </w:rPr>
        <w:t xml:space="preserve">povahu jakéhosi </w:t>
      </w:r>
      <w:r w:rsidR="00AE3BB8">
        <w:rPr>
          <w:bCs/>
          <w:szCs w:val="24"/>
        </w:rPr>
        <w:t>„</w:t>
      </w:r>
      <w:r w:rsidR="004A6FDA" w:rsidRPr="004A6FDA">
        <w:rPr>
          <w:bCs/>
          <w:szCs w:val="24"/>
        </w:rPr>
        <w:t>zbytkového ustanovení</w:t>
      </w:r>
      <w:r w:rsidR="00AE3BB8">
        <w:rPr>
          <w:bCs/>
          <w:szCs w:val="24"/>
        </w:rPr>
        <w:t>“</w:t>
      </w:r>
      <w:r w:rsidR="004A6FDA" w:rsidRPr="004A6FDA">
        <w:rPr>
          <w:bCs/>
          <w:szCs w:val="24"/>
        </w:rPr>
        <w:t>, které se vztahuje na případy, kdy zákonodárce opomene stanovit (či záměrně nestanoví)</w:t>
      </w:r>
      <w:r w:rsidR="004A6FDA">
        <w:rPr>
          <w:bCs/>
          <w:szCs w:val="24"/>
        </w:rPr>
        <w:t xml:space="preserve"> </w:t>
      </w:r>
      <w:r w:rsidR="004A6FDA" w:rsidRPr="004A6FDA">
        <w:rPr>
          <w:bCs/>
          <w:szCs w:val="24"/>
        </w:rPr>
        <w:t>podmínky pro prolamování mlčenlivosti v trestním řízení</w:t>
      </w:r>
      <w:r w:rsidR="004A6FDA">
        <w:rPr>
          <w:bCs/>
          <w:szCs w:val="24"/>
        </w:rPr>
        <w:t xml:space="preserve">. V případě ustanovení § 51 zákona o </w:t>
      </w:r>
      <w:r w:rsidR="00894909" w:rsidRPr="00894909">
        <w:rPr>
          <w:szCs w:val="24"/>
        </w:rPr>
        <w:t>zdravotních služb</w:t>
      </w:r>
      <w:r w:rsidR="00894909">
        <w:rPr>
          <w:szCs w:val="24"/>
        </w:rPr>
        <w:t>ách</w:t>
      </w:r>
      <w:r w:rsidR="00894909">
        <w:rPr>
          <w:bCs/>
          <w:szCs w:val="24"/>
        </w:rPr>
        <w:t xml:space="preserve"> </w:t>
      </w:r>
      <w:r w:rsidR="004A6FDA">
        <w:rPr>
          <w:bCs/>
          <w:szCs w:val="24"/>
        </w:rPr>
        <w:t>tak tomu však není</w:t>
      </w:r>
      <w:r w:rsidR="008A4647">
        <w:rPr>
          <w:bCs/>
          <w:szCs w:val="24"/>
        </w:rPr>
        <w:t>, neboť t</w:t>
      </w:r>
      <w:r w:rsidR="00E3155C">
        <w:rPr>
          <w:bCs/>
          <w:szCs w:val="24"/>
        </w:rPr>
        <w:t>o</w:t>
      </w:r>
      <w:r w:rsidR="008A4647">
        <w:rPr>
          <w:bCs/>
          <w:szCs w:val="24"/>
        </w:rPr>
        <w:t xml:space="preserve"> výslovně upravuje, za jakých podmínek lze chráněné informace (skutečnosti) pro účely trestního řízení poskytovat, a proto na ně ustanovení § 8 odst. 5 trestního řádu</w:t>
      </w:r>
      <w:r w:rsidR="00BF34E5">
        <w:rPr>
          <w:bCs/>
          <w:szCs w:val="24"/>
        </w:rPr>
        <w:t xml:space="preserve"> nedopadá</w:t>
      </w:r>
      <w:r w:rsidR="008A4647">
        <w:rPr>
          <w:bCs/>
          <w:szCs w:val="24"/>
        </w:rPr>
        <w:t xml:space="preserve">, nýbrž </w:t>
      </w:r>
      <w:r w:rsidR="00BF34E5">
        <w:rPr>
          <w:bCs/>
          <w:szCs w:val="24"/>
        </w:rPr>
        <w:t xml:space="preserve">se v těchto případech postupuje dle </w:t>
      </w:r>
      <w:r w:rsidR="008A4647">
        <w:rPr>
          <w:bCs/>
          <w:szCs w:val="24"/>
        </w:rPr>
        <w:t xml:space="preserve">ustanovení § 8 odst. 1 téhož zákona. </w:t>
      </w:r>
      <w:r w:rsidR="00B04A23">
        <w:rPr>
          <w:bCs/>
          <w:szCs w:val="24"/>
        </w:rPr>
        <w:t xml:space="preserve"> </w:t>
      </w:r>
    </w:p>
    <w:p w:rsidR="00763FE7" w:rsidRDefault="00D45D76"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bCs/>
          <w:szCs w:val="24"/>
        </w:rPr>
      </w:pPr>
      <w:r w:rsidRPr="00763FE7">
        <w:rPr>
          <w:bCs/>
          <w:szCs w:val="24"/>
        </w:rPr>
        <w:t>Zároveň</w:t>
      </w:r>
      <w:r w:rsidR="00B04A23">
        <w:rPr>
          <w:bCs/>
          <w:szCs w:val="24"/>
        </w:rPr>
        <w:t xml:space="preserve"> </w:t>
      </w:r>
      <w:r w:rsidR="00E3155C">
        <w:rPr>
          <w:bCs/>
          <w:szCs w:val="24"/>
        </w:rPr>
        <w:t>Policie</w:t>
      </w:r>
      <w:r w:rsidRPr="00763FE7">
        <w:rPr>
          <w:bCs/>
          <w:szCs w:val="24"/>
        </w:rPr>
        <w:t xml:space="preserve"> </w:t>
      </w:r>
      <w:r w:rsidR="00E3155C">
        <w:rPr>
          <w:bCs/>
          <w:szCs w:val="24"/>
        </w:rPr>
        <w:t>zdůraznila</w:t>
      </w:r>
      <w:r w:rsidRPr="00763FE7">
        <w:rPr>
          <w:bCs/>
          <w:szCs w:val="24"/>
        </w:rPr>
        <w:t>, že v případech, kdy je předmětem trestního řízení smrt člověka, musí stát veřejný zájem na odhalování trestné činnosti, tedy zjištění, zda taková smrt nenastala cizím zaviněním, nad ochranou osobních údajů dotčené (již zemřelé) fyzické osoby.</w:t>
      </w:r>
      <w:r w:rsidR="00866AA4" w:rsidRPr="00763FE7">
        <w:rPr>
          <w:rFonts w:ascii="Helvetica" w:hAnsi="Helvetica" w:cs="Helvetica"/>
          <w:szCs w:val="24"/>
        </w:rPr>
        <w:t xml:space="preserve"> </w:t>
      </w:r>
      <w:r w:rsidR="00866AA4" w:rsidRPr="00763FE7">
        <w:rPr>
          <w:bCs/>
          <w:szCs w:val="24"/>
        </w:rPr>
        <w:t>Orgán činný v trestním řízení si</w:t>
      </w:r>
      <w:r w:rsidR="00B04A23">
        <w:rPr>
          <w:bCs/>
          <w:szCs w:val="24"/>
        </w:rPr>
        <w:t xml:space="preserve"> totiž</w:t>
      </w:r>
      <w:r w:rsidR="00866AA4" w:rsidRPr="00763FE7">
        <w:rPr>
          <w:bCs/>
          <w:szCs w:val="24"/>
        </w:rPr>
        <w:t xml:space="preserve"> takové informace neopatřuje proto, že by na nich měl nějaký jiný zájem, ale pouze proto, aby dostál své zákonné povinnosti, kterou orgány činné v trestním řízení ve společnosti mají, tedy odhalování a o</w:t>
      </w:r>
      <w:r w:rsidR="004C445D">
        <w:rPr>
          <w:bCs/>
          <w:szCs w:val="24"/>
        </w:rPr>
        <w:t>b</w:t>
      </w:r>
      <w:r w:rsidR="00866AA4" w:rsidRPr="00763FE7">
        <w:rPr>
          <w:bCs/>
          <w:szCs w:val="24"/>
        </w:rPr>
        <w:t>jasňování trestné činnosti, zjišťování pachatelů a jejich spravedlivé potrestání. Jde o celospolečenský a veřejný</w:t>
      </w:r>
      <w:r w:rsidR="00E3155C">
        <w:rPr>
          <w:bCs/>
          <w:szCs w:val="24"/>
        </w:rPr>
        <w:t xml:space="preserve"> zájem</w:t>
      </w:r>
      <w:r w:rsidR="00866AA4" w:rsidRPr="00763FE7">
        <w:rPr>
          <w:bCs/>
          <w:szCs w:val="24"/>
        </w:rPr>
        <w:t xml:space="preserve">, nikoliv </w:t>
      </w:r>
      <w:r w:rsidR="00740A57">
        <w:rPr>
          <w:bCs/>
          <w:szCs w:val="24"/>
        </w:rPr>
        <w:t xml:space="preserve">o </w:t>
      </w:r>
      <w:r w:rsidR="00E3155C">
        <w:rPr>
          <w:bCs/>
          <w:szCs w:val="24"/>
        </w:rPr>
        <w:t xml:space="preserve">zájem </w:t>
      </w:r>
      <w:r w:rsidR="00866AA4" w:rsidRPr="00763FE7">
        <w:rPr>
          <w:bCs/>
          <w:szCs w:val="24"/>
        </w:rPr>
        <w:t>osobní</w:t>
      </w:r>
      <w:r w:rsidR="00E3155C">
        <w:rPr>
          <w:bCs/>
          <w:szCs w:val="24"/>
        </w:rPr>
        <w:t>.</w:t>
      </w:r>
      <w:r w:rsidR="00866AA4" w:rsidRPr="00763FE7">
        <w:rPr>
          <w:bCs/>
          <w:szCs w:val="24"/>
        </w:rPr>
        <w:t xml:space="preserve"> </w:t>
      </w:r>
      <w:r w:rsidR="00D07A5F">
        <w:rPr>
          <w:bCs/>
          <w:szCs w:val="24"/>
        </w:rPr>
        <w:t>T</w:t>
      </w:r>
      <w:r w:rsidR="00866AA4" w:rsidRPr="00763FE7">
        <w:rPr>
          <w:bCs/>
          <w:szCs w:val="24"/>
        </w:rPr>
        <w:t xml:space="preserve">yto informace jsou </w:t>
      </w:r>
      <w:r w:rsidR="00D07A5F">
        <w:rPr>
          <w:bCs/>
          <w:szCs w:val="24"/>
        </w:rPr>
        <w:t>přitom v</w:t>
      </w:r>
      <w:r w:rsidR="00866AA4" w:rsidRPr="00763FE7">
        <w:rPr>
          <w:bCs/>
          <w:szCs w:val="24"/>
        </w:rPr>
        <w:t xml:space="preserve"> počáteční fázi trestního řízení zcela zásadní a odvíjí se od nich další postup</w:t>
      </w:r>
      <w:r w:rsidR="00763FE7" w:rsidRPr="00763FE7">
        <w:rPr>
          <w:bCs/>
          <w:szCs w:val="24"/>
        </w:rPr>
        <w:t>, neboť</w:t>
      </w:r>
      <w:r w:rsidR="00866AA4" w:rsidRPr="00763FE7">
        <w:rPr>
          <w:bCs/>
          <w:szCs w:val="24"/>
        </w:rPr>
        <w:t xml:space="preserve"> </w:t>
      </w:r>
      <w:r w:rsidR="00763FE7" w:rsidRPr="00763FE7">
        <w:rPr>
          <w:bCs/>
          <w:szCs w:val="24"/>
        </w:rPr>
        <w:t xml:space="preserve">bez znalosti těchto základních skutečností by </w:t>
      </w:r>
      <w:r w:rsidR="00453394">
        <w:rPr>
          <w:bCs/>
          <w:szCs w:val="24"/>
        </w:rPr>
        <w:t>P</w:t>
      </w:r>
      <w:r w:rsidR="00763FE7" w:rsidRPr="00763FE7">
        <w:rPr>
          <w:bCs/>
          <w:szCs w:val="24"/>
        </w:rPr>
        <w:t>olicie nebyla schopna efektivně objasnit skutečnosti důležité pro trestní řízení, zajistit důkazy a odhalit pachatele. Dále účastník</w:t>
      </w:r>
      <w:r w:rsidR="00BF34E5">
        <w:rPr>
          <w:bCs/>
          <w:szCs w:val="24"/>
        </w:rPr>
        <w:t xml:space="preserve"> řízení</w:t>
      </w:r>
      <w:r w:rsidR="00763FE7" w:rsidRPr="00763FE7">
        <w:rPr>
          <w:bCs/>
          <w:szCs w:val="24"/>
        </w:rPr>
        <w:t xml:space="preserve"> polemizuje, zda by takto vzniklý stav byl v zájmu i samotného poškozeného (pacienta), poněvadž </w:t>
      </w:r>
      <w:r w:rsidR="00763FE7">
        <w:rPr>
          <w:bCs/>
          <w:szCs w:val="24"/>
        </w:rPr>
        <w:t>považuje za nereálné</w:t>
      </w:r>
      <w:r w:rsidR="00763FE7" w:rsidRPr="00763FE7">
        <w:rPr>
          <w:bCs/>
          <w:szCs w:val="24"/>
        </w:rPr>
        <w:t xml:space="preserve">, že by si měla </w:t>
      </w:r>
      <w:r w:rsidR="00453394">
        <w:rPr>
          <w:bCs/>
          <w:szCs w:val="24"/>
        </w:rPr>
        <w:t>P</w:t>
      </w:r>
      <w:r w:rsidR="00763FE7" w:rsidRPr="00763FE7">
        <w:rPr>
          <w:bCs/>
          <w:szCs w:val="24"/>
        </w:rPr>
        <w:t>olicie pro každou takovou informaci, kterou potřebuje znát ihned, opatřovat předchozí souhlas soudce.</w:t>
      </w:r>
      <w:r w:rsidR="00763FE7">
        <w:rPr>
          <w:bCs/>
          <w:szCs w:val="24"/>
        </w:rPr>
        <w:t xml:space="preserve"> </w:t>
      </w:r>
      <w:r w:rsidR="00453394">
        <w:rPr>
          <w:bCs/>
          <w:szCs w:val="24"/>
        </w:rPr>
        <w:t>Navíc,</w:t>
      </w:r>
      <w:r w:rsidR="00763FE7">
        <w:rPr>
          <w:bCs/>
          <w:szCs w:val="24"/>
        </w:rPr>
        <w:t xml:space="preserve"> přístup do trestního spis</w:t>
      </w:r>
      <w:r w:rsidR="00026902">
        <w:rPr>
          <w:bCs/>
          <w:szCs w:val="24"/>
        </w:rPr>
        <w:t>u</w:t>
      </w:r>
      <w:r w:rsidR="00763FE7">
        <w:rPr>
          <w:bCs/>
          <w:szCs w:val="24"/>
        </w:rPr>
        <w:t xml:space="preserve"> má v těchto případech pouze omezených počet osob.</w:t>
      </w:r>
    </w:p>
    <w:p w:rsidR="00763FE7" w:rsidRDefault="00763FE7"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bCs/>
          <w:szCs w:val="24"/>
        </w:rPr>
      </w:pPr>
      <w:r w:rsidRPr="00763FE7">
        <w:rPr>
          <w:bCs/>
          <w:szCs w:val="24"/>
        </w:rPr>
        <w:t xml:space="preserve">Ohledně konkrétního </w:t>
      </w:r>
      <w:r w:rsidR="00FA4D45">
        <w:rPr>
          <w:bCs/>
          <w:szCs w:val="24"/>
        </w:rPr>
        <w:t>sdělování</w:t>
      </w:r>
      <w:r w:rsidRPr="00763FE7">
        <w:rPr>
          <w:bCs/>
          <w:szCs w:val="24"/>
        </w:rPr>
        <w:t xml:space="preserve"> informací v nyní projednávaném případě</w:t>
      </w:r>
      <w:r w:rsidR="00D07A5F">
        <w:rPr>
          <w:bCs/>
          <w:szCs w:val="24"/>
        </w:rPr>
        <w:t xml:space="preserve"> pak</w:t>
      </w:r>
      <w:r w:rsidR="00AE0542">
        <w:rPr>
          <w:bCs/>
          <w:szCs w:val="24"/>
        </w:rPr>
        <w:t xml:space="preserve"> </w:t>
      </w:r>
      <w:r w:rsidR="00BF34E5">
        <w:rPr>
          <w:bCs/>
          <w:szCs w:val="24"/>
        </w:rPr>
        <w:t>účastník řízení</w:t>
      </w:r>
      <w:r w:rsidRPr="00763FE7">
        <w:rPr>
          <w:bCs/>
          <w:szCs w:val="24"/>
        </w:rPr>
        <w:t xml:space="preserve"> </w:t>
      </w:r>
      <w:r w:rsidR="00D07A5F">
        <w:rPr>
          <w:bCs/>
          <w:szCs w:val="24"/>
        </w:rPr>
        <w:t>uvedl</w:t>
      </w:r>
      <w:r w:rsidRPr="00763FE7">
        <w:rPr>
          <w:bCs/>
          <w:szCs w:val="24"/>
        </w:rPr>
        <w:t xml:space="preserve">, že poskytoval stěžovatelovi maximální prostor pro vyřešení kolizní situace (včetně například zrušení druhého rozhodnutí o udělení pořádkové pokuty </w:t>
      </w:r>
      <w:proofErr w:type="spellStart"/>
      <w:r w:rsidRPr="00763FE7">
        <w:rPr>
          <w:bCs/>
          <w:szCs w:val="24"/>
        </w:rPr>
        <w:t>autoremedurou</w:t>
      </w:r>
      <w:proofErr w:type="spellEnd"/>
      <w:r w:rsidRPr="00763FE7">
        <w:rPr>
          <w:bCs/>
          <w:szCs w:val="24"/>
        </w:rPr>
        <w:t>)</w:t>
      </w:r>
      <w:r w:rsidR="00D07A5F">
        <w:rPr>
          <w:bCs/>
          <w:szCs w:val="24"/>
        </w:rPr>
        <w:t>, je</w:t>
      </w:r>
      <w:r w:rsidR="00BF34E5">
        <w:rPr>
          <w:bCs/>
          <w:szCs w:val="24"/>
        </w:rPr>
        <w:t>n</w:t>
      </w:r>
      <w:r w:rsidR="00D07A5F">
        <w:rPr>
          <w:bCs/>
          <w:szCs w:val="24"/>
        </w:rPr>
        <w:t>ž však nadále trval na svém právním názoru</w:t>
      </w:r>
      <w:r w:rsidRPr="00763FE7">
        <w:rPr>
          <w:bCs/>
          <w:szCs w:val="24"/>
        </w:rPr>
        <w:t>.</w:t>
      </w:r>
    </w:p>
    <w:p w:rsidR="00866AA4" w:rsidRPr="00AE0542" w:rsidRDefault="00BF34E5"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bCs/>
          <w:szCs w:val="24"/>
        </w:rPr>
      </w:pPr>
      <w:r>
        <w:rPr>
          <w:bCs/>
          <w:szCs w:val="24"/>
        </w:rPr>
        <w:t>Polic</w:t>
      </w:r>
      <w:r w:rsidR="00453394">
        <w:rPr>
          <w:bCs/>
          <w:szCs w:val="24"/>
        </w:rPr>
        <w:t>ie</w:t>
      </w:r>
      <w:r w:rsidR="00763FE7" w:rsidRPr="00763FE7">
        <w:rPr>
          <w:bCs/>
          <w:szCs w:val="24"/>
        </w:rPr>
        <w:t xml:space="preserve"> </w:t>
      </w:r>
      <w:r>
        <w:rPr>
          <w:bCs/>
          <w:szCs w:val="24"/>
        </w:rPr>
        <w:t xml:space="preserve">závěrem </w:t>
      </w:r>
      <w:r w:rsidR="00453394">
        <w:rPr>
          <w:bCs/>
          <w:szCs w:val="24"/>
        </w:rPr>
        <w:t>uvedla</w:t>
      </w:r>
      <w:r w:rsidR="00763FE7" w:rsidRPr="00763FE7">
        <w:rPr>
          <w:bCs/>
          <w:szCs w:val="24"/>
        </w:rPr>
        <w:t>, že veřejný záj</w:t>
      </w:r>
      <w:r>
        <w:rPr>
          <w:bCs/>
          <w:szCs w:val="24"/>
        </w:rPr>
        <w:t>e</w:t>
      </w:r>
      <w:r w:rsidR="00763FE7" w:rsidRPr="00763FE7">
        <w:rPr>
          <w:bCs/>
          <w:szCs w:val="24"/>
        </w:rPr>
        <w:t>m na potírání trestné činnosti má ústavněprávní rozměr, protože podle čl. 1 ústavního zákona č. 110/1998 Sb., o bezpečnosti České republiky, je základní povinností státu „ochrana života, zdraví a majetkových hodnot.“ Proto</w:t>
      </w:r>
      <w:r w:rsidR="0007460C">
        <w:rPr>
          <w:bCs/>
          <w:szCs w:val="24"/>
        </w:rPr>
        <w:t xml:space="preserve"> s ohledem na výše vyřčené</w:t>
      </w:r>
      <w:r w:rsidR="00763FE7" w:rsidRPr="00763FE7">
        <w:rPr>
          <w:bCs/>
          <w:szCs w:val="24"/>
        </w:rPr>
        <w:t xml:space="preserve"> </w:t>
      </w:r>
      <w:r>
        <w:rPr>
          <w:bCs/>
          <w:szCs w:val="24"/>
        </w:rPr>
        <w:t>neshledal</w:t>
      </w:r>
      <w:r w:rsidR="00763FE7" w:rsidRPr="00763FE7">
        <w:rPr>
          <w:bCs/>
          <w:szCs w:val="24"/>
        </w:rPr>
        <w:t xml:space="preserve"> porušení základních práv a svobod stěžovatele ani jiné osoby.</w:t>
      </w:r>
    </w:p>
    <w:p w:rsidR="00A26D83" w:rsidRDefault="00A26D83"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6E6B90">
        <w:rPr>
          <w:szCs w:val="24"/>
        </w:rPr>
        <w:t xml:space="preserve">V replice k podaným vyjádřením stěžovatel </w:t>
      </w:r>
      <w:r w:rsidR="00453394">
        <w:rPr>
          <w:szCs w:val="24"/>
        </w:rPr>
        <w:t xml:space="preserve">toliko </w:t>
      </w:r>
      <w:r w:rsidRPr="006E6B90">
        <w:rPr>
          <w:szCs w:val="24"/>
        </w:rPr>
        <w:t>uvedl, že nadále trvá na ústavní stížnosti</w:t>
      </w:r>
      <w:r>
        <w:rPr>
          <w:szCs w:val="24"/>
        </w:rPr>
        <w:t xml:space="preserve">, přičemž </w:t>
      </w:r>
      <w:r w:rsidR="00FA4D45">
        <w:rPr>
          <w:szCs w:val="24"/>
        </w:rPr>
        <w:t>odkázal na argumentaci obsaženou v ústavní stížnosti</w:t>
      </w:r>
      <w:r w:rsidRPr="006E6B90">
        <w:rPr>
          <w:szCs w:val="24"/>
        </w:rPr>
        <w:t>.</w:t>
      </w:r>
    </w:p>
    <w:p w:rsidR="00A26D83" w:rsidRDefault="00A26D83" w:rsidP="00EA164A">
      <w:pPr>
        <w:tabs>
          <w:tab w:val="left" w:pos="360"/>
        </w:tabs>
        <w:spacing w:before="120"/>
        <w:rPr>
          <w:szCs w:val="24"/>
        </w:rPr>
      </w:pPr>
    </w:p>
    <w:p w:rsidR="00A26D83" w:rsidRPr="00AA42A3" w:rsidRDefault="00284412" w:rsidP="00EA164A">
      <w:pPr>
        <w:tabs>
          <w:tab w:val="left" w:pos="360"/>
        </w:tabs>
        <w:spacing w:before="120"/>
        <w:jc w:val="center"/>
        <w:rPr>
          <w:b/>
          <w:szCs w:val="24"/>
        </w:rPr>
      </w:pPr>
      <w:r>
        <w:rPr>
          <w:b/>
          <w:szCs w:val="24"/>
        </w:rPr>
        <w:t>I</w:t>
      </w:r>
      <w:r w:rsidR="00A26D83" w:rsidRPr="00AA42A3">
        <w:rPr>
          <w:b/>
          <w:szCs w:val="24"/>
        </w:rPr>
        <w:t xml:space="preserve">V. Podstatný obsah </w:t>
      </w:r>
      <w:r w:rsidR="00453394">
        <w:rPr>
          <w:b/>
          <w:szCs w:val="24"/>
        </w:rPr>
        <w:t>vyžádaného spisu</w:t>
      </w:r>
    </w:p>
    <w:p w:rsidR="00A26D83" w:rsidRPr="008D111A" w:rsidRDefault="00A26D83"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C21B25">
        <w:rPr>
          <w:szCs w:val="24"/>
        </w:rPr>
        <w:t>Z</w:t>
      </w:r>
      <w:r>
        <w:rPr>
          <w:szCs w:val="24"/>
        </w:rPr>
        <w:t> vyžádan</w:t>
      </w:r>
      <w:r w:rsidR="00284412">
        <w:rPr>
          <w:szCs w:val="24"/>
        </w:rPr>
        <w:t>ých</w:t>
      </w:r>
      <w:r>
        <w:rPr>
          <w:szCs w:val="24"/>
        </w:rPr>
        <w:t xml:space="preserve"> </w:t>
      </w:r>
      <w:r w:rsidRPr="00C21B25">
        <w:rPr>
          <w:szCs w:val="24"/>
        </w:rPr>
        <w:t>spis</w:t>
      </w:r>
      <w:r w:rsidR="00284412">
        <w:rPr>
          <w:szCs w:val="24"/>
        </w:rPr>
        <w:t>ů</w:t>
      </w:r>
      <w:r w:rsidRPr="00C21B25">
        <w:rPr>
          <w:szCs w:val="24"/>
        </w:rPr>
        <w:t xml:space="preserve"> </w:t>
      </w:r>
      <w:r w:rsidR="008C4851">
        <w:rPr>
          <w:szCs w:val="24"/>
        </w:rPr>
        <w:t>Okresního soudu v</w:t>
      </w:r>
      <w:r w:rsidR="00284412">
        <w:rPr>
          <w:szCs w:val="24"/>
        </w:rPr>
        <w:t> </w:t>
      </w:r>
      <w:r w:rsidR="008C4851">
        <w:rPr>
          <w:szCs w:val="24"/>
        </w:rPr>
        <w:t>Olomouci</w:t>
      </w:r>
      <w:r w:rsidR="00284412">
        <w:rPr>
          <w:szCs w:val="24"/>
        </w:rPr>
        <w:t xml:space="preserve"> a Policie</w:t>
      </w:r>
      <w:r w:rsidR="00FD2131">
        <w:rPr>
          <w:szCs w:val="24"/>
        </w:rPr>
        <w:t xml:space="preserve"> se podávají</w:t>
      </w:r>
      <w:r w:rsidRPr="00C21B25">
        <w:rPr>
          <w:szCs w:val="24"/>
        </w:rPr>
        <w:t xml:space="preserve"> následující skutečnosti.</w:t>
      </w:r>
      <w:r w:rsidRPr="002317AC">
        <w:rPr>
          <w:rFonts w:asciiTheme="minorHAnsi" w:hAnsiTheme="minorHAnsi"/>
          <w:sz w:val="22"/>
        </w:rPr>
        <w:t xml:space="preserve"> </w:t>
      </w:r>
    </w:p>
    <w:p w:rsidR="008D111A" w:rsidRDefault="008D111A"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lastRenderedPageBreak/>
        <w:t>Dne 8. 1. 2014 zahájil</w:t>
      </w:r>
      <w:r w:rsidR="00BE3F84">
        <w:rPr>
          <w:szCs w:val="24"/>
        </w:rPr>
        <w:t>a Policie</w:t>
      </w:r>
      <w:r>
        <w:rPr>
          <w:szCs w:val="24"/>
        </w:rPr>
        <w:t xml:space="preserve"> úkony trestního řízení ve věci náhlého úmrtí osoby, je</w:t>
      </w:r>
      <w:r w:rsidR="00BE3F84">
        <w:rPr>
          <w:szCs w:val="24"/>
        </w:rPr>
        <w:t>jí</w:t>
      </w:r>
      <w:r>
        <w:rPr>
          <w:szCs w:val="24"/>
        </w:rPr>
        <w:t>ž pitvu prováděl</w:t>
      </w:r>
      <w:r w:rsidR="004C445D">
        <w:rPr>
          <w:szCs w:val="24"/>
        </w:rPr>
        <w:t xml:space="preserve"> lékař</w:t>
      </w:r>
      <w:r>
        <w:rPr>
          <w:szCs w:val="24"/>
        </w:rPr>
        <w:t xml:space="preserve"> stěžovatel</w:t>
      </w:r>
      <w:r w:rsidR="004C445D">
        <w:rPr>
          <w:szCs w:val="24"/>
        </w:rPr>
        <w:t>e</w:t>
      </w:r>
      <w:r>
        <w:rPr>
          <w:szCs w:val="24"/>
        </w:rPr>
        <w:t xml:space="preserve">. Jelikož ve výsledku zdravotní pitvy bylo mj. uvedeno, že </w:t>
      </w:r>
      <w:r w:rsidR="00633879">
        <w:rPr>
          <w:szCs w:val="24"/>
        </w:rPr>
        <w:t>daná osoba</w:t>
      </w:r>
      <w:bookmarkStart w:id="1" w:name="_GoBack"/>
      <w:bookmarkEnd w:id="1"/>
      <w:r>
        <w:rPr>
          <w:szCs w:val="24"/>
        </w:rPr>
        <w:t xml:space="preserve"> zemřel</w:t>
      </w:r>
      <w:r w:rsidR="00633879">
        <w:rPr>
          <w:szCs w:val="24"/>
        </w:rPr>
        <w:t>a</w:t>
      </w:r>
      <w:r>
        <w:rPr>
          <w:szCs w:val="24"/>
        </w:rPr>
        <w:t xml:space="preserve"> násilnou</w:t>
      </w:r>
      <w:r w:rsidR="00924181">
        <w:rPr>
          <w:szCs w:val="24"/>
        </w:rPr>
        <w:t xml:space="preserve"> </w:t>
      </w:r>
      <w:r w:rsidR="001659CB">
        <w:rPr>
          <w:szCs w:val="24"/>
        </w:rPr>
        <w:t xml:space="preserve">smrtí </w:t>
      </w:r>
      <w:r>
        <w:rPr>
          <w:szCs w:val="24"/>
        </w:rPr>
        <w:t>(i přesto, že pitevní nález pro to nesvědčil), požádal</w:t>
      </w:r>
      <w:r w:rsidR="0007460C">
        <w:rPr>
          <w:szCs w:val="24"/>
        </w:rPr>
        <w:t xml:space="preserve">a </w:t>
      </w:r>
      <w:r w:rsidR="00026902">
        <w:rPr>
          <w:szCs w:val="24"/>
        </w:rPr>
        <w:t>P</w:t>
      </w:r>
      <w:r w:rsidR="0007460C">
        <w:rPr>
          <w:szCs w:val="24"/>
        </w:rPr>
        <w:t>olicie</w:t>
      </w:r>
      <w:r>
        <w:rPr>
          <w:szCs w:val="24"/>
        </w:rPr>
        <w:t xml:space="preserve"> dne 10. 2. 2014 soud dle ustanovení § 8 odst. 5 trestního řádu o zproštění mlčenlivosti </w:t>
      </w:r>
      <w:r w:rsidR="00723DA6">
        <w:rPr>
          <w:szCs w:val="24"/>
        </w:rPr>
        <w:t>stěžovatele zakotvené</w:t>
      </w:r>
      <w:r>
        <w:rPr>
          <w:szCs w:val="24"/>
        </w:rPr>
        <w:t xml:space="preserve"> v ustanovení </w:t>
      </w:r>
      <w:r w:rsidR="00723DA6">
        <w:rPr>
          <w:szCs w:val="24"/>
        </w:rPr>
        <w:t xml:space="preserve">§ </w:t>
      </w:r>
      <w:r w:rsidR="00BC5275">
        <w:rPr>
          <w:szCs w:val="24"/>
        </w:rPr>
        <w:t xml:space="preserve">51 zákona o </w:t>
      </w:r>
      <w:r w:rsidR="00894909" w:rsidRPr="00894909">
        <w:rPr>
          <w:szCs w:val="24"/>
        </w:rPr>
        <w:t>zdravotních služb</w:t>
      </w:r>
      <w:r w:rsidR="00894909">
        <w:rPr>
          <w:szCs w:val="24"/>
        </w:rPr>
        <w:t>ách</w:t>
      </w:r>
      <w:r w:rsidR="00BC5275">
        <w:rPr>
          <w:szCs w:val="24"/>
        </w:rPr>
        <w:t xml:space="preserve">. </w:t>
      </w:r>
    </w:p>
    <w:p w:rsidR="00BC5275" w:rsidRDefault="00BC5275"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t xml:space="preserve">Okresní soud v Olomouci tento návrh zamítl, neboť dle jeho názoru ustanovení § 51 odst. 2 písm. d) zákona o </w:t>
      </w:r>
      <w:r w:rsidR="00894909" w:rsidRPr="00894909">
        <w:rPr>
          <w:szCs w:val="24"/>
        </w:rPr>
        <w:t>zdravotních služb</w:t>
      </w:r>
      <w:r w:rsidR="00894909">
        <w:rPr>
          <w:szCs w:val="24"/>
        </w:rPr>
        <w:t xml:space="preserve">ách </w:t>
      </w:r>
      <w:r>
        <w:rPr>
          <w:szCs w:val="24"/>
        </w:rPr>
        <w:t>stanovuje podmínky pro prolamování povinnosti mlčenlivosti</w:t>
      </w:r>
      <w:r w:rsidR="00723DA6">
        <w:rPr>
          <w:szCs w:val="24"/>
        </w:rPr>
        <w:t xml:space="preserve"> v případě vyžádání informací pro účely trestního řízení</w:t>
      </w:r>
      <w:r>
        <w:rPr>
          <w:szCs w:val="24"/>
        </w:rPr>
        <w:t xml:space="preserve">, takže ustanovení § 8 odst. 5 trestního řádu se na tyto případy nevztahuje a není tedy v těchto případech nezbytné žádat o zproštění mlčenlivosti soud. </w:t>
      </w:r>
    </w:p>
    <w:p w:rsidR="004F4BF8" w:rsidRPr="00BE3F84" w:rsidRDefault="00BC5275" w:rsidP="00BD6111">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t>Na základě tohoto rozhodnutí vyzval</w:t>
      </w:r>
      <w:r w:rsidR="00BE3F84">
        <w:rPr>
          <w:szCs w:val="24"/>
        </w:rPr>
        <w:t>a Policie</w:t>
      </w:r>
      <w:r w:rsidR="0007460C">
        <w:rPr>
          <w:szCs w:val="24"/>
        </w:rPr>
        <w:t xml:space="preserve"> </w:t>
      </w:r>
      <w:r>
        <w:rPr>
          <w:szCs w:val="24"/>
        </w:rPr>
        <w:t xml:space="preserve">přípisem ze dne 12. 2. 2014 stěžovatele </w:t>
      </w:r>
      <w:r w:rsidR="00723DA6">
        <w:rPr>
          <w:szCs w:val="24"/>
        </w:rPr>
        <w:t xml:space="preserve">dle ustanovení § 8 odst. 1 trestního řádu </w:t>
      </w:r>
      <w:r>
        <w:rPr>
          <w:szCs w:val="24"/>
        </w:rPr>
        <w:t>k poskytnutí informací o bezprostřed</w:t>
      </w:r>
      <w:r w:rsidR="00723DA6">
        <w:rPr>
          <w:szCs w:val="24"/>
        </w:rPr>
        <w:t>ní příčině smrti dotčené osoby;</w:t>
      </w:r>
      <w:r>
        <w:rPr>
          <w:szCs w:val="24"/>
        </w:rPr>
        <w:t xml:space="preserve"> zároveň požadoval</w:t>
      </w:r>
      <w:r w:rsidR="00BE3F84">
        <w:rPr>
          <w:szCs w:val="24"/>
        </w:rPr>
        <w:t>a</w:t>
      </w:r>
      <w:r>
        <w:rPr>
          <w:szCs w:val="24"/>
        </w:rPr>
        <w:t xml:space="preserve"> poskytnutí ověřené kopie pitevního protokolu a listu o prohlídce zemřelého.</w:t>
      </w:r>
      <w:r w:rsidR="00723DA6">
        <w:rPr>
          <w:szCs w:val="24"/>
        </w:rPr>
        <w:t xml:space="preserve"> </w:t>
      </w:r>
      <w:r w:rsidR="0007460C" w:rsidRPr="00BE3F84">
        <w:rPr>
          <w:szCs w:val="24"/>
        </w:rPr>
        <w:t xml:space="preserve"> </w:t>
      </w:r>
      <w:r w:rsidR="004F4BF8" w:rsidRPr="00BE3F84">
        <w:rPr>
          <w:szCs w:val="24"/>
        </w:rPr>
        <w:t xml:space="preserve">Stěžovatel tyto informace odmítl poskytnout, neboť dle jeho názoru </w:t>
      </w:r>
      <w:r w:rsidR="00BE3F84">
        <w:rPr>
          <w:szCs w:val="24"/>
        </w:rPr>
        <w:t xml:space="preserve">je </w:t>
      </w:r>
      <w:r w:rsidR="004F4BF8" w:rsidRPr="00BE3F84">
        <w:rPr>
          <w:szCs w:val="24"/>
        </w:rPr>
        <w:t>mohou orgány činné v trestním řízení vyžadovat pouze po předchozím souhlasu soud</w:t>
      </w:r>
      <w:r w:rsidR="00723DA6" w:rsidRPr="00BE3F84">
        <w:rPr>
          <w:szCs w:val="24"/>
        </w:rPr>
        <w:t>u</w:t>
      </w:r>
      <w:r w:rsidR="004F4BF8" w:rsidRPr="00BE3F84">
        <w:rPr>
          <w:szCs w:val="24"/>
        </w:rPr>
        <w:t xml:space="preserve">. </w:t>
      </w:r>
    </w:p>
    <w:p w:rsidR="004F4BF8" w:rsidRDefault="004F4BF8"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t xml:space="preserve">Jelikož i přes další upozornění </w:t>
      </w:r>
      <w:r w:rsidR="0007460C">
        <w:rPr>
          <w:szCs w:val="24"/>
        </w:rPr>
        <w:t xml:space="preserve">policejního orgánu </w:t>
      </w:r>
      <w:r>
        <w:rPr>
          <w:szCs w:val="24"/>
        </w:rPr>
        <w:t>stěžovatel požadované</w:t>
      </w:r>
      <w:r w:rsidR="00723DA6">
        <w:rPr>
          <w:szCs w:val="24"/>
        </w:rPr>
        <w:t xml:space="preserve"> informace neposkytl, udělil</w:t>
      </w:r>
      <w:r w:rsidR="00BE3F84">
        <w:rPr>
          <w:szCs w:val="24"/>
        </w:rPr>
        <w:t>a mu Policie</w:t>
      </w:r>
      <w:r w:rsidR="00723DA6">
        <w:rPr>
          <w:szCs w:val="24"/>
        </w:rPr>
        <w:t xml:space="preserve"> </w:t>
      </w:r>
      <w:r>
        <w:rPr>
          <w:szCs w:val="24"/>
        </w:rPr>
        <w:t>dne 3. 3. 2014 pořádkovou pokutu ve výši 5</w:t>
      </w:r>
      <w:r w:rsidR="00BE3F84">
        <w:rPr>
          <w:szCs w:val="24"/>
        </w:rPr>
        <w:t>.</w:t>
      </w:r>
      <w:r>
        <w:rPr>
          <w:szCs w:val="24"/>
        </w:rPr>
        <w:t>000 Kč</w:t>
      </w:r>
      <w:r w:rsidR="00E0010B">
        <w:rPr>
          <w:szCs w:val="24"/>
        </w:rPr>
        <w:t xml:space="preserve"> (následně dne 7. 5. 2014 udělil </w:t>
      </w:r>
      <w:r w:rsidR="0007460C">
        <w:rPr>
          <w:szCs w:val="24"/>
        </w:rPr>
        <w:t xml:space="preserve">tentýž orgán </w:t>
      </w:r>
      <w:r w:rsidR="00E0010B">
        <w:rPr>
          <w:szCs w:val="24"/>
        </w:rPr>
        <w:t xml:space="preserve">stěžovateli </w:t>
      </w:r>
      <w:r w:rsidR="0007460C">
        <w:rPr>
          <w:szCs w:val="24"/>
        </w:rPr>
        <w:t xml:space="preserve">opětovaně </w:t>
      </w:r>
      <w:r w:rsidR="00E0010B">
        <w:rPr>
          <w:szCs w:val="24"/>
        </w:rPr>
        <w:t>pořádkovou poku</w:t>
      </w:r>
      <w:r w:rsidR="00D50957">
        <w:rPr>
          <w:szCs w:val="24"/>
        </w:rPr>
        <w:t>tu, tentokrát ve výši 15 000 Kč;</w:t>
      </w:r>
      <w:r w:rsidR="00E0010B">
        <w:rPr>
          <w:szCs w:val="24"/>
        </w:rPr>
        <w:t xml:space="preserve"> </w:t>
      </w:r>
      <w:r w:rsidR="00A4513B">
        <w:rPr>
          <w:szCs w:val="24"/>
        </w:rPr>
        <w:t>usnesení o jejím uložení však po poskytnutí požadovaných informací z vlastní iniciativy zrušil)</w:t>
      </w:r>
      <w:r>
        <w:rPr>
          <w:szCs w:val="24"/>
        </w:rPr>
        <w:t>.</w:t>
      </w:r>
      <w:r w:rsidR="0007460C">
        <w:rPr>
          <w:szCs w:val="24"/>
        </w:rPr>
        <w:t xml:space="preserve"> </w:t>
      </w:r>
    </w:p>
    <w:p w:rsidR="004F4BF8" w:rsidRDefault="004F4BF8"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4F4BF8">
        <w:rPr>
          <w:szCs w:val="24"/>
        </w:rPr>
        <w:t xml:space="preserve">Proti udělení pořádkové pokuty podal stěžovatel stížnost, v níž zopakoval již dříve </w:t>
      </w:r>
      <w:r w:rsidR="00BE3F84">
        <w:rPr>
          <w:szCs w:val="24"/>
        </w:rPr>
        <w:t>vyslovené</w:t>
      </w:r>
      <w:r w:rsidRPr="004F4BF8">
        <w:rPr>
          <w:szCs w:val="24"/>
        </w:rPr>
        <w:t xml:space="preserve"> námitky proti postupu </w:t>
      </w:r>
      <w:r w:rsidR="00BE3F84">
        <w:rPr>
          <w:szCs w:val="24"/>
        </w:rPr>
        <w:t>P</w:t>
      </w:r>
      <w:r w:rsidR="0007460C">
        <w:rPr>
          <w:szCs w:val="24"/>
        </w:rPr>
        <w:t>olicie</w:t>
      </w:r>
      <w:r w:rsidRPr="004F4BF8">
        <w:rPr>
          <w:szCs w:val="24"/>
        </w:rPr>
        <w:t>, kter</w:t>
      </w:r>
      <w:r w:rsidR="0007460C">
        <w:rPr>
          <w:szCs w:val="24"/>
        </w:rPr>
        <w:t>á</w:t>
      </w:r>
      <w:r w:rsidRPr="004F4BF8">
        <w:rPr>
          <w:szCs w:val="24"/>
        </w:rPr>
        <w:t xml:space="preserve"> požadoval</w:t>
      </w:r>
      <w:r w:rsidR="0007460C">
        <w:rPr>
          <w:szCs w:val="24"/>
        </w:rPr>
        <w:t>a</w:t>
      </w:r>
      <w:r w:rsidRPr="004F4BF8">
        <w:rPr>
          <w:szCs w:val="24"/>
        </w:rPr>
        <w:t xml:space="preserve"> poskytnutí dotčených informací </w:t>
      </w:r>
      <w:r w:rsidR="00723DA6">
        <w:rPr>
          <w:szCs w:val="24"/>
        </w:rPr>
        <w:t>bez souhlasu soudu (odvolával</w:t>
      </w:r>
      <w:r w:rsidRPr="004F4BF8">
        <w:rPr>
          <w:szCs w:val="24"/>
        </w:rPr>
        <w:t xml:space="preserve"> se přitom </w:t>
      </w:r>
      <w:r w:rsidR="00723DA6">
        <w:rPr>
          <w:szCs w:val="24"/>
        </w:rPr>
        <w:t xml:space="preserve">mj. </w:t>
      </w:r>
      <w:r w:rsidRPr="004F4BF8">
        <w:rPr>
          <w:szCs w:val="24"/>
        </w:rPr>
        <w:t>na stanovisko Ministerstva</w:t>
      </w:r>
      <w:r>
        <w:rPr>
          <w:szCs w:val="24"/>
        </w:rPr>
        <w:t xml:space="preserve"> </w:t>
      </w:r>
      <w:r w:rsidRPr="004F4BF8">
        <w:rPr>
          <w:szCs w:val="24"/>
        </w:rPr>
        <w:t>zdravotnictví ze dne 16.</w:t>
      </w:r>
      <w:r>
        <w:rPr>
          <w:szCs w:val="24"/>
        </w:rPr>
        <w:t xml:space="preserve"> </w:t>
      </w:r>
      <w:r w:rsidRPr="004F4BF8">
        <w:rPr>
          <w:szCs w:val="24"/>
        </w:rPr>
        <w:t>5.</w:t>
      </w:r>
      <w:r>
        <w:rPr>
          <w:szCs w:val="24"/>
        </w:rPr>
        <w:t xml:space="preserve"> </w:t>
      </w:r>
      <w:r w:rsidRPr="004F4BF8">
        <w:rPr>
          <w:szCs w:val="24"/>
        </w:rPr>
        <w:t xml:space="preserve">2012 </w:t>
      </w:r>
      <w:r>
        <w:rPr>
          <w:szCs w:val="24"/>
        </w:rPr>
        <w:t>či Nejvyššího státního zastupitelství</w:t>
      </w:r>
      <w:r w:rsidRPr="004F4BF8">
        <w:rPr>
          <w:szCs w:val="24"/>
        </w:rPr>
        <w:t xml:space="preserve"> ze dne 22.</w:t>
      </w:r>
      <w:r>
        <w:rPr>
          <w:szCs w:val="24"/>
        </w:rPr>
        <w:t xml:space="preserve"> </w:t>
      </w:r>
      <w:r w:rsidRPr="004F4BF8">
        <w:rPr>
          <w:szCs w:val="24"/>
        </w:rPr>
        <w:t>5.</w:t>
      </w:r>
      <w:r>
        <w:rPr>
          <w:szCs w:val="24"/>
        </w:rPr>
        <w:t xml:space="preserve"> </w:t>
      </w:r>
      <w:r w:rsidRPr="004F4BF8">
        <w:rPr>
          <w:szCs w:val="24"/>
        </w:rPr>
        <w:t>2012</w:t>
      </w:r>
      <w:r w:rsidR="00A4513B">
        <w:rPr>
          <w:szCs w:val="24"/>
        </w:rPr>
        <w:t>; později též soudu zaslal stanovisko Ministerstva spravedlnosti ze dne 27. 3. 2014</w:t>
      </w:r>
      <w:r w:rsidR="00723DA6">
        <w:rPr>
          <w:szCs w:val="24"/>
        </w:rPr>
        <w:t xml:space="preserve"> dle jeho názoru </w:t>
      </w:r>
      <w:r w:rsidR="00D50957">
        <w:rPr>
          <w:szCs w:val="24"/>
        </w:rPr>
        <w:t xml:space="preserve">rovněž </w:t>
      </w:r>
      <w:r w:rsidR="00723DA6">
        <w:rPr>
          <w:szCs w:val="24"/>
        </w:rPr>
        <w:t xml:space="preserve">svědčící jeho </w:t>
      </w:r>
      <w:r w:rsidR="00F07FF4">
        <w:rPr>
          <w:szCs w:val="24"/>
        </w:rPr>
        <w:t>interpretaci</w:t>
      </w:r>
      <w:r w:rsidR="00A4513B">
        <w:rPr>
          <w:szCs w:val="24"/>
        </w:rPr>
        <w:t>)</w:t>
      </w:r>
      <w:r>
        <w:rPr>
          <w:szCs w:val="24"/>
        </w:rPr>
        <w:t xml:space="preserve">. </w:t>
      </w:r>
    </w:p>
    <w:p w:rsidR="00E0010B" w:rsidRPr="00E0010B" w:rsidRDefault="00E0010B"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E0010B">
        <w:rPr>
          <w:szCs w:val="24"/>
        </w:rPr>
        <w:t xml:space="preserve">Okresní soud </w:t>
      </w:r>
      <w:r w:rsidR="0007460C">
        <w:rPr>
          <w:szCs w:val="24"/>
        </w:rPr>
        <w:t>v Olomouci shor</w:t>
      </w:r>
      <w:r w:rsidR="00723DA6">
        <w:rPr>
          <w:szCs w:val="24"/>
        </w:rPr>
        <w:t xml:space="preserve">a označeným rozhodnutím </w:t>
      </w:r>
      <w:r w:rsidRPr="00E0010B">
        <w:rPr>
          <w:szCs w:val="24"/>
        </w:rPr>
        <w:t>stížnost stěžovatele zamítl</w:t>
      </w:r>
      <w:r w:rsidR="00BE3F84">
        <w:rPr>
          <w:szCs w:val="24"/>
        </w:rPr>
        <w:t xml:space="preserve">. </w:t>
      </w:r>
      <w:r w:rsidRPr="00E0010B">
        <w:rPr>
          <w:szCs w:val="24"/>
        </w:rPr>
        <w:t xml:space="preserve">Výklad Ministerstva zdravotnictví, Nejvyššího státního zastupitelství či Ministerstva spravedlnosti nepovažoval </w:t>
      </w:r>
      <w:r w:rsidR="00A4513B">
        <w:rPr>
          <w:szCs w:val="24"/>
        </w:rPr>
        <w:t xml:space="preserve">pro </w:t>
      </w:r>
      <w:r w:rsidR="00BE3F84">
        <w:rPr>
          <w:szCs w:val="24"/>
        </w:rPr>
        <w:t>svoji</w:t>
      </w:r>
      <w:r w:rsidR="00A4513B">
        <w:rPr>
          <w:szCs w:val="24"/>
        </w:rPr>
        <w:t xml:space="preserve"> rozhodovací činnost za</w:t>
      </w:r>
      <w:r w:rsidRPr="00E0010B">
        <w:rPr>
          <w:szCs w:val="24"/>
        </w:rPr>
        <w:t xml:space="preserve"> závazný</w:t>
      </w:r>
      <w:r w:rsidR="00BE3F84">
        <w:rPr>
          <w:szCs w:val="24"/>
        </w:rPr>
        <w:t xml:space="preserve"> a výklad</w:t>
      </w:r>
      <w:r w:rsidR="00A4513B">
        <w:rPr>
          <w:szCs w:val="24"/>
        </w:rPr>
        <w:t xml:space="preserve"> Ministerstva spravedlnosti</w:t>
      </w:r>
      <w:r w:rsidR="00BE3F84">
        <w:rPr>
          <w:szCs w:val="24"/>
        </w:rPr>
        <w:t xml:space="preserve"> </w:t>
      </w:r>
      <w:r w:rsidRPr="00E0010B">
        <w:rPr>
          <w:szCs w:val="24"/>
        </w:rPr>
        <w:t xml:space="preserve">hodnotil jako značně ambivalentní. Okresní soud dále zdůraznil, že je třeba trvat na tom, že fyzické i právnické osoby jsou povinny v souladu s ustanoveními trestního řádu poskytovat orgánům činným v trestním řízení patřičnou součinnost. </w:t>
      </w:r>
      <w:r w:rsidR="00BE3F84">
        <w:rPr>
          <w:szCs w:val="24"/>
        </w:rPr>
        <w:t>N</w:t>
      </w:r>
      <w:r w:rsidRPr="00E0010B">
        <w:rPr>
          <w:szCs w:val="24"/>
        </w:rPr>
        <w:t>emohou na tuto povinnost</w:t>
      </w:r>
      <w:r w:rsidR="00723DA6">
        <w:rPr>
          <w:szCs w:val="24"/>
        </w:rPr>
        <w:t xml:space="preserve"> rezignovat, případně</w:t>
      </w:r>
      <w:r>
        <w:rPr>
          <w:szCs w:val="24"/>
        </w:rPr>
        <w:t xml:space="preserve"> j</w:t>
      </w:r>
      <w:r w:rsidRPr="00E0010B">
        <w:rPr>
          <w:szCs w:val="24"/>
        </w:rPr>
        <w:t>i relativizovat svým úhlem pohledu</w:t>
      </w:r>
      <w:r>
        <w:rPr>
          <w:szCs w:val="24"/>
        </w:rPr>
        <w:t xml:space="preserve">, obzvláště ne pak v případě </w:t>
      </w:r>
      <w:r w:rsidRPr="00E0010B">
        <w:rPr>
          <w:szCs w:val="24"/>
        </w:rPr>
        <w:t>násilného úmrt</w:t>
      </w:r>
      <w:r>
        <w:rPr>
          <w:szCs w:val="24"/>
        </w:rPr>
        <w:t xml:space="preserve">í, kdy je otázka bezprostřední příčiny smrti klíčová. Okresní soud tedy shledal, že pořádková pokuta byla uložena </w:t>
      </w:r>
      <w:r w:rsidR="00BE3F84">
        <w:rPr>
          <w:szCs w:val="24"/>
        </w:rPr>
        <w:t>zákonným způsobem.</w:t>
      </w:r>
    </w:p>
    <w:p w:rsidR="00A26D83" w:rsidRDefault="00A26D83" w:rsidP="00EA164A">
      <w:pPr>
        <w:tabs>
          <w:tab w:val="left" w:pos="360"/>
        </w:tabs>
        <w:spacing w:before="120"/>
        <w:jc w:val="center"/>
        <w:rPr>
          <w:b/>
          <w:szCs w:val="24"/>
        </w:rPr>
      </w:pPr>
    </w:p>
    <w:p w:rsidR="00A26D83" w:rsidRPr="00255894" w:rsidRDefault="00A26D83" w:rsidP="00EA164A">
      <w:pPr>
        <w:tabs>
          <w:tab w:val="left" w:pos="360"/>
        </w:tabs>
        <w:spacing w:before="120"/>
        <w:jc w:val="center"/>
        <w:rPr>
          <w:szCs w:val="24"/>
        </w:rPr>
      </w:pPr>
      <w:r w:rsidRPr="00255894">
        <w:rPr>
          <w:b/>
          <w:szCs w:val="24"/>
        </w:rPr>
        <w:t>V.</w:t>
      </w:r>
      <w:r w:rsidRPr="00255894">
        <w:rPr>
          <w:b/>
          <w:szCs w:val="24"/>
        </w:rPr>
        <w:tab/>
        <w:t>Vlastní hodnocení Ústavního soudu</w:t>
      </w:r>
    </w:p>
    <w:bookmarkEnd w:id="0"/>
    <w:p w:rsidR="00B83867" w:rsidRDefault="00B83867"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437590">
        <w:rPr>
          <w:szCs w:val="24"/>
        </w:rPr>
        <w:t>Ústavní soud ustáleně judikuje, že jeho úkolem je jen ochrana ústavnosti a nikoliv zákonnosti (čl. 83 Ústavy Č</w:t>
      </w:r>
      <w:r w:rsidR="0053689D">
        <w:rPr>
          <w:szCs w:val="24"/>
        </w:rPr>
        <w:t>eské republiky</w:t>
      </w:r>
      <w:r w:rsidR="001A3835">
        <w:rPr>
          <w:szCs w:val="24"/>
        </w:rPr>
        <w:t>, dále jen „Ústava“</w:t>
      </w:r>
      <w:r w:rsidRPr="00437590">
        <w:rPr>
          <w:szCs w:val="24"/>
        </w:rPr>
        <w:t xml:space="preserve">). Ústavní soud </w:t>
      </w:r>
      <w:r w:rsidR="00E9538F">
        <w:rPr>
          <w:szCs w:val="24"/>
        </w:rPr>
        <w:t xml:space="preserve">v řízení o ústavní stížnosti podle čl. 87 odst. 1 písm. d) Ústavy </w:t>
      </w:r>
      <w:r w:rsidRPr="00437590">
        <w:rPr>
          <w:szCs w:val="24"/>
        </w:rPr>
        <w:t xml:space="preserve">není povolán k přezkumu </w:t>
      </w:r>
      <w:proofErr w:type="gramStart"/>
      <w:r w:rsidRPr="00437590">
        <w:rPr>
          <w:szCs w:val="24"/>
        </w:rPr>
        <w:t xml:space="preserve">aplikace </w:t>
      </w:r>
      <w:r w:rsidR="00924181">
        <w:rPr>
          <w:szCs w:val="24"/>
        </w:rPr>
        <w:t xml:space="preserve"> </w:t>
      </w:r>
      <w:proofErr w:type="spellStart"/>
      <w:r>
        <w:rPr>
          <w:szCs w:val="24"/>
        </w:rPr>
        <w:t>podústavního</w:t>
      </w:r>
      <w:proofErr w:type="spellEnd"/>
      <w:proofErr w:type="gramEnd"/>
      <w:r w:rsidRPr="00437590">
        <w:rPr>
          <w:szCs w:val="24"/>
        </w:rPr>
        <w:t xml:space="preserve"> práva a může tak činit jen tehdy, jestliže současně shledá porušení základního práva či svobody, protože základní práva a svobody vymezují nejen rámec normativního obsahu aplikovaných právních norem, nýbrž také rámec jejich ústavně konformní interpretace a aplikace. Interpretace zákonných a podzákonných právních norem, která nešetří základní práva v co nejvyšší míře, při současném dodržení účelu aplikovaných právních norem</w:t>
      </w:r>
      <w:r>
        <w:rPr>
          <w:szCs w:val="24"/>
        </w:rPr>
        <w:t>,</w:t>
      </w:r>
      <w:r w:rsidRPr="00437590">
        <w:rPr>
          <w:szCs w:val="24"/>
        </w:rPr>
        <w:t xml:space="preserve"> anebo interpretace, jež je v extrémním rozporu s principy spravedlnosti, pak znamenají porušení základního práva či svobody.</w:t>
      </w:r>
    </w:p>
    <w:p w:rsidR="00B83867" w:rsidRDefault="0053689D"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lastRenderedPageBreak/>
        <w:t xml:space="preserve">V nyní projednávaném případě se </w:t>
      </w:r>
      <w:r w:rsidR="00E02E0D" w:rsidRPr="00E02E0D">
        <w:rPr>
          <w:szCs w:val="24"/>
        </w:rPr>
        <w:t xml:space="preserve">Ústavní soud </w:t>
      </w:r>
      <w:r w:rsidR="00E02E0D">
        <w:rPr>
          <w:szCs w:val="24"/>
        </w:rPr>
        <w:t>musel</w:t>
      </w:r>
      <w:r w:rsidR="00E02E0D" w:rsidRPr="00E02E0D">
        <w:rPr>
          <w:szCs w:val="24"/>
        </w:rPr>
        <w:t xml:space="preserve"> </w:t>
      </w:r>
      <w:r>
        <w:rPr>
          <w:szCs w:val="24"/>
        </w:rPr>
        <w:t xml:space="preserve">předně </w:t>
      </w:r>
      <w:r w:rsidR="00E02E0D" w:rsidRPr="00E02E0D">
        <w:rPr>
          <w:szCs w:val="24"/>
        </w:rPr>
        <w:t>zabývat otá</w:t>
      </w:r>
      <w:r w:rsidR="00505491">
        <w:rPr>
          <w:szCs w:val="24"/>
        </w:rPr>
        <w:t>zkou, zda napadený postup orgánů</w:t>
      </w:r>
      <w:r w:rsidR="00E02E0D" w:rsidRPr="00E02E0D">
        <w:rPr>
          <w:szCs w:val="24"/>
        </w:rPr>
        <w:t xml:space="preserve"> veřejné moci je vůbec způsobilý zasáhnout do tvrzených základních práv</w:t>
      </w:r>
      <w:r w:rsidR="00505491">
        <w:rPr>
          <w:szCs w:val="24"/>
        </w:rPr>
        <w:t xml:space="preserve"> stěžovatele, jenž má povahu veřejné</w:t>
      </w:r>
      <w:r w:rsidR="0066024F">
        <w:rPr>
          <w:szCs w:val="24"/>
        </w:rPr>
        <w:t xml:space="preserve"> právnické osoby zřízené</w:t>
      </w:r>
      <w:r w:rsidR="00505491">
        <w:rPr>
          <w:szCs w:val="24"/>
        </w:rPr>
        <w:t xml:space="preserve"> státem. Dle </w:t>
      </w:r>
      <w:r w:rsidR="002D0813">
        <w:rPr>
          <w:szCs w:val="24"/>
        </w:rPr>
        <w:t>Policie</w:t>
      </w:r>
      <w:r w:rsidR="00505491">
        <w:rPr>
          <w:szCs w:val="24"/>
        </w:rPr>
        <w:t xml:space="preserve"> totiž Listina chrání osobní autonomii pouze soukromých a nikoli veřejných osob</w:t>
      </w:r>
      <w:r w:rsidR="00113868">
        <w:rPr>
          <w:szCs w:val="24"/>
        </w:rPr>
        <w:t xml:space="preserve"> a ústavní stížnost by měla být již z tohoto důvodu odmítnuta</w:t>
      </w:r>
      <w:r w:rsidR="00505491">
        <w:rPr>
          <w:szCs w:val="24"/>
        </w:rPr>
        <w:t>.</w:t>
      </w:r>
    </w:p>
    <w:p w:rsidR="0063477D" w:rsidRPr="0005177C" w:rsidRDefault="0053689D"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i/>
          <w:szCs w:val="24"/>
        </w:rPr>
      </w:pPr>
      <w:r>
        <w:rPr>
          <w:szCs w:val="24"/>
        </w:rPr>
        <w:t>K tomu</w:t>
      </w:r>
      <w:r w:rsidR="0063477D" w:rsidRPr="007E143E">
        <w:rPr>
          <w:szCs w:val="24"/>
        </w:rPr>
        <w:t xml:space="preserve"> Ústavní soud připomíná, že d</w:t>
      </w:r>
      <w:r w:rsidR="00C33EEA" w:rsidRPr="007E143E">
        <w:rPr>
          <w:szCs w:val="24"/>
        </w:rPr>
        <w:t xml:space="preserve">efiničním znakem ústavní stížnosti je zásah orgánu veřejné moci do ústavně zaručených základních práv a svobod, přičemž pro aktivní legitimaci k podání ústavní stížnosti z toho vyplývá, že takto legitimován je pouze ten subjekt, jenž disponuje způsobilostí být nositelem základních práv a svobod. Pokud stát vystupuje v právních vztazích v pozici subjektu veřejného práva, tedy jako nositel veřejné moci, z povahy věci není a ani nemůže být nositelem základních práv a svobod [usnesení </w:t>
      </w:r>
      <w:proofErr w:type="spellStart"/>
      <w:r w:rsidR="00C33EEA" w:rsidRPr="007E143E">
        <w:rPr>
          <w:szCs w:val="24"/>
        </w:rPr>
        <w:t>sp</w:t>
      </w:r>
      <w:proofErr w:type="spellEnd"/>
      <w:r w:rsidR="00C33EEA" w:rsidRPr="007E143E">
        <w:rPr>
          <w:szCs w:val="24"/>
        </w:rPr>
        <w:t xml:space="preserve">. zn. IV. ÚS 352/03 ze dne 27. 1. 2005 (U 2/36 </w:t>
      </w:r>
      <w:proofErr w:type="spellStart"/>
      <w:r w:rsidR="00C33EEA" w:rsidRPr="007E143E">
        <w:rPr>
          <w:szCs w:val="24"/>
        </w:rPr>
        <w:t>SbNU</w:t>
      </w:r>
      <w:proofErr w:type="spellEnd"/>
      <w:r w:rsidR="00C33EEA" w:rsidRPr="007E143E">
        <w:rPr>
          <w:szCs w:val="24"/>
        </w:rPr>
        <w:t xml:space="preserve"> 751)]. Přístup opačný by znamenal popření smyslu základních práv a svobod tak, jak byly zformovány staletým vývoje</w:t>
      </w:r>
      <w:r w:rsidR="0063477D" w:rsidRPr="007E143E">
        <w:rPr>
          <w:szCs w:val="24"/>
        </w:rPr>
        <w:t xml:space="preserve">m evropské </w:t>
      </w:r>
      <w:r w:rsidR="00B34024">
        <w:rPr>
          <w:szCs w:val="24"/>
        </w:rPr>
        <w:t xml:space="preserve">kontinentální </w:t>
      </w:r>
      <w:r w:rsidR="0063477D" w:rsidRPr="007E143E">
        <w:rPr>
          <w:szCs w:val="24"/>
        </w:rPr>
        <w:t xml:space="preserve">a anglosaské </w:t>
      </w:r>
      <w:r w:rsidR="00CC2A0D">
        <w:rPr>
          <w:szCs w:val="24"/>
        </w:rPr>
        <w:t xml:space="preserve">právní </w:t>
      </w:r>
      <w:r w:rsidR="0063477D" w:rsidRPr="007E143E">
        <w:rPr>
          <w:szCs w:val="24"/>
        </w:rPr>
        <w:t>kultury, neboť</w:t>
      </w:r>
      <w:r w:rsidR="00C33EEA" w:rsidRPr="007E143E">
        <w:rPr>
          <w:szCs w:val="24"/>
        </w:rPr>
        <w:t xml:space="preserve"> </w:t>
      </w:r>
      <w:r w:rsidR="0063477D" w:rsidRPr="007E143E">
        <w:rPr>
          <w:szCs w:val="24"/>
        </w:rPr>
        <w:t>z</w:t>
      </w:r>
      <w:r w:rsidR="00C33EEA" w:rsidRPr="007E143E">
        <w:rPr>
          <w:szCs w:val="24"/>
        </w:rPr>
        <w:t xml:space="preserve"> pohledu teoretického </w:t>
      </w:r>
      <w:r w:rsidR="0063477D" w:rsidRPr="007E143E">
        <w:rPr>
          <w:szCs w:val="24"/>
        </w:rPr>
        <w:t xml:space="preserve">by </w:t>
      </w:r>
      <w:r w:rsidR="00C33EEA" w:rsidRPr="007E143E">
        <w:rPr>
          <w:szCs w:val="24"/>
        </w:rPr>
        <w:t>takovýto postup znamen</w:t>
      </w:r>
      <w:r w:rsidR="0063477D" w:rsidRPr="007E143E">
        <w:rPr>
          <w:szCs w:val="24"/>
        </w:rPr>
        <w:t>al</w:t>
      </w:r>
      <w:r w:rsidR="00C33EEA" w:rsidRPr="007E143E">
        <w:rPr>
          <w:szCs w:val="24"/>
        </w:rPr>
        <w:t xml:space="preserve"> popření fundamentálního rozdílu mezi pojmy oprávnění (subjektivního práva) a pravomoci (kompetence), jenž je akceptován v postavení paradigmatu právního myšlení v dosahu </w:t>
      </w:r>
      <w:r w:rsidR="00CC2A0D">
        <w:rPr>
          <w:szCs w:val="24"/>
        </w:rPr>
        <w:t>uvedené</w:t>
      </w:r>
      <w:r w:rsidR="00C33EEA" w:rsidRPr="007E143E">
        <w:rPr>
          <w:szCs w:val="24"/>
        </w:rPr>
        <w:t xml:space="preserve"> právní kultury [</w:t>
      </w:r>
      <w:r w:rsidR="0063477D" w:rsidRPr="007E143E">
        <w:rPr>
          <w:szCs w:val="24"/>
        </w:rPr>
        <w:t xml:space="preserve">srov. </w:t>
      </w:r>
      <w:r w:rsidR="00C33EEA" w:rsidRPr="007E143E">
        <w:rPr>
          <w:szCs w:val="24"/>
        </w:rPr>
        <w:t xml:space="preserve">stanovisko pléna </w:t>
      </w:r>
      <w:proofErr w:type="spellStart"/>
      <w:r w:rsidR="00C33EEA" w:rsidRPr="007E143E">
        <w:rPr>
          <w:szCs w:val="24"/>
        </w:rPr>
        <w:t>sp</w:t>
      </w:r>
      <w:proofErr w:type="spellEnd"/>
      <w:r w:rsidR="00C33EEA" w:rsidRPr="007E143E">
        <w:rPr>
          <w:szCs w:val="24"/>
        </w:rPr>
        <w:t xml:space="preserve">. zn. </w:t>
      </w:r>
      <w:proofErr w:type="spellStart"/>
      <w:r w:rsidR="00C33EEA" w:rsidRPr="007E143E">
        <w:rPr>
          <w:szCs w:val="24"/>
        </w:rPr>
        <w:t>Pl.ÚS</w:t>
      </w:r>
      <w:proofErr w:type="spellEnd"/>
      <w:r w:rsidR="00C33EEA" w:rsidRPr="007E143E">
        <w:rPr>
          <w:szCs w:val="24"/>
        </w:rPr>
        <w:t xml:space="preserve">-st. 9/99 ze dne 9. 11. 1999 (ST 9/16 </w:t>
      </w:r>
      <w:proofErr w:type="spellStart"/>
      <w:r w:rsidR="00C33EEA" w:rsidRPr="007E143E">
        <w:rPr>
          <w:szCs w:val="24"/>
        </w:rPr>
        <w:t>SbNU</w:t>
      </w:r>
      <w:proofErr w:type="spellEnd"/>
      <w:r w:rsidR="00C33EEA" w:rsidRPr="007E143E">
        <w:rPr>
          <w:szCs w:val="24"/>
        </w:rPr>
        <w:t xml:space="preserve"> 372)]. </w:t>
      </w:r>
      <w:r w:rsidR="0069768F">
        <w:t xml:space="preserve">Podle povahy </w:t>
      </w:r>
      <w:r w:rsidR="0063477D">
        <w:t>každého konkrétního případu</w:t>
      </w:r>
      <w:r w:rsidR="0069768F">
        <w:t xml:space="preserve"> je tedy nutno rozlišovat, </w:t>
      </w:r>
      <w:r w:rsidR="009A20BB">
        <w:t>zda</w:t>
      </w:r>
      <w:r w:rsidR="0069768F">
        <w:t xml:space="preserve"> stát vystupuje </w:t>
      </w:r>
      <w:r w:rsidR="009A20BB">
        <w:t>či n</w:t>
      </w:r>
      <w:r w:rsidR="00EA6794">
        <w:t>ikoliv</w:t>
      </w:r>
      <w:r w:rsidR="009A20BB">
        <w:t xml:space="preserve"> </w:t>
      </w:r>
      <w:r w:rsidR="0069768F">
        <w:t>v</w:t>
      </w:r>
      <w:r w:rsidR="009A20BB">
        <w:t xml:space="preserve"> dotčených</w:t>
      </w:r>
      <w:r w:rsidR="0069768F">
        <w:t xml:space="preserve"> právních vztazích jako nositel veřejné moci</w:t>
      </w:r>
      <w:r w:rsidR="0063477D">
        <w:t>. Pokud ano, ne</w:t>
      </w:r>
      <w:r w:rsidR="009A20BB">
        <w:t xml:space="preserve">může </w:t>
      </w:r>
      <w:r w:rsidR="0069768F">
        <w:t>být</w:t>
      </w:r>
      <w:r w:rsidR="0063477D">
        <w:t xml:space="preserve"> s ohledem na shora řečené </w:t>
      </w:r>
      <w:r w:rsidR="0069768F">
        <w:t xml:space="preserve">aktivně legitimován k podání ústavní stížnosti. </w:t>
      </w:r>
      <w:r w:rsidR="00E027FC">
        <w:rPr>
          <w:i/>
        </w:rPr>
        <w:t xml:space="preserve"> </w:t>
      </w:r>
      <w:r w:rsidR="00E027FC" w:rsidRPr="0005177C">
        <w:t xml:space="preserve">Nevystupuje-li však stát ve „vrchnostenském“ postavení, </w:t>
      </w:r>
      <w:r w:rsidR="006466AC" w:rsidRPr="0005177C">
        <w:t xml:space="preserve">tedy jako </w:t>
      </w:r>
      <w:r w:rsidR="003447FE" w:rsidRPr="0005177C">
        <w:t>nosit</w:t>
      </w:r>
      <w:r w:rsidR="006466AC" w:rsidRPr="0005177C">
        <w:t xml:space="preserve">el veřejné moci, </w:t>
      </w:r>
      <w:r w:rsidR="00E027FC" w:rsidRPr="0005177C">
        <w:t xml:space="preserve">ale </w:t>
      </w:r>
      <w:r w:rsidR="003447FE" w:rsidRPr="0005177C">
        <w:t xml:space="preserve">„pouze“ </w:t>
      </w:r>
      <w:r w:rsidR="00E027FC" w:rsidRPr="0005177C">
        <w:t xml:space="preserve">jako právnická osoba </w:t>
      </w:r>
      <w:r w:rsidR="0005177C" w:rsidRPr="0005177C">
        <w:t>[</w:t>
      </w:r>
      <w:r w:rsidR="00E027FC" w:rsidRPr="0005177C">
        <w:t xml:space="preserve">§ 72 </w:t>
      </w:r>
      <w:proofErr w:type="spellStart"/>
      <w:r w:rsidR="00E027FC" w:rsidRPr="0005177C">
        <w:t>ods</w:t>
      </w:r>
      <w:proofErr w:type="spellEnd"/>
      <w:r w:rsidR="00E027FC" w:rsidRPr="0005177C">
        <w:t>. 1 písm. a</w:t>
      </w:r>
      <w:r w:rsidR="0005177C">
        <w:t>)</w:t>
      </w:r>
      <w:r w:rsidR="00E027FC" w:rsidRPr="0005177C">
        <w:t xml:space="preserve"> zákona o Ústavním soudu</w:t>
      </w:r>
      <w:r w:rsidR="0005177C">
        <w:t>]</w:t>
      </w:r>
      <w:r w:rsidR="006466AC" w:rsidRPr="0005177C">
        <w:t xml:space="preserve">, jejíž postavení je </w:t>
      </w:r>
      <w:r w:rsidR="003447FE" w:rsidRPr="0005177C">
        <w:t xml:space="preserve">v těchto právních vztazích </w:t>
      </w:r>
      <w:r w:rsidR="006466AC" w:rsidRPr="0005177C">
        <w:t xml:space="preserve">rovnoprávné s jinými subjekty, je </w:t>
      </w:r>
      <w:r w:rsidR="003447FE" w:rsidRPr="0005177C">
        <w:t>takový státní subjekt s</w:t>
      </w:r>
      <w:r w:rsidR="006466AC" w:rsidRPr="0005177C">
        <w:t>ubjektem základní</w:t>
      </w:r>
      <w:r w:rsidR="003447FE" w:rsidRPr="0005177C">
        <w:t>c</w:t>
      </w:r>
      <w:r w:rsidR="006466AC" w:rsidRPr="0005177C">
        <w:t>h práv a svobod a může tedy napadat rozhodnutí orgánu veřejné moci ústavní stížností.</w:t>
      </w:r>
      <w:r w:rsidR="006466AC">
        <w:rPr>
          <w:i/>
        </w:rPr>
        <w:t xml:space="preserve"> </w:t>
      </w:r>
      <w:r w:rsidR="00E027FC">
        <w:rPr>
          <w:i/>
        </w:rPr>
        <w:t xml:space="preserve"> </w:t>
      </w:r>
    </w:p>
    <w:p w:rsidR="00B83867" w:rsidRDefault="00C33EEA"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t>V nyní posuzovaném případě</w:t>
      </w:r>
      <w:r w:rsidR="0069768F">
        <w:rPr>
          <w:szCs w:val="24"/>
        </w:rPr>
        <w:t xml:space="preserve"> přitom platí druhá varianta, neboť </w:t>
      </w:r>
      <w:r>
        <w:rPr>
          <w:szCs w:val="24"/>
        </w:rPr>
        <w:t xml:space="preserve">stěžovatel </w:t>
      </w:r>
      <w:r w:rsidR="0053689D">
        <w:rPr>
          <w:szCs w:val="24"/>
        </w:rPr>
        <w:t>(který není státním orgánem</w:t>
      </w:r>
      <w:r w:rsidR="0040391E">
        <w:rPr>
          <w:szCs w:val="24"/>
        </w:rPr>
        <w:t xml:space="preserve">, </w:t>
      </w:r>
      <w:r w:rsidR="0005177C">
        <w:rPr>
          <w:szCs w:val="24"/>
        </w:rPr>
        <w:t>nýbrž</w:t>
      </w:r>
      <w:r w:rsidR="0040391E">
        <w:rPr>
          <w:szCs w:val="24"/>
        </w:rPr>
        <w:t xml:space="preserve"> </w:t>
      </w:r>
      <w:r w:rsidR="00666A9D">
        <w:rPr>
          <w:szCs w:val="24"/>
        </w:rPr>
        <w:t xml:space="preserve">je </w:t>
      </w:r>
      <w:r w:rsidR="0040391E">
        <w:rPr>
          <w:szCs w:val="24"/>
        </w:rPr>
        <w:t>státní příspěvkovou organizací</w:t>
      </w:r>
      <w:r w:rsidR="0053689D">
        <w:rPr>
          <w:szCs w:val="24"/>
        </w:rPr>
        <w:t xml:space="preserve">) </w:t>
      </w:r>
      <w:r w:rsidR="00CF6FD3">
        <w:rPr>
          <w:szCs w:val="24"/>
        </w:rPr>
        <w:t>nejednal</w:t>
      </w:r>
      <w:r>
        <w:rPr>
          <w:szCs w:val="24"/>
        </w:rPr>
        <w:t xml:space="preserve"> ve </w:t>
      </w:r>
      <w:r w:rsidR="00666A9D">
        <w:rPr>
          <w:szCs w:val="24"/>
        </w:rPr>
        <w:t>„</w:t>
      </w:r>
      <w:r>
        <w:rPr>
          <w:szCs w:val="24"/>
        </w:rPr>
        <w:t>vrchnostenském</w:t>
      </w:r>
      <w:r w:rsidR="00666A9D">
        <w:rPr>
          <w:szCs w:val="24"/>
        </w:rPr>
        <w:t>“</w:t>
      </w:r>
      <w:r>
        <w:rPr>
          <w:szCs w:val="24"/>
        </w:rPr>
        <w:t xml:space="preserve"> posta</w:t>
      </w:r>
      <w:r w:rsidR="00C5667F">
        <w:rPr>
          <w:szCs w:val="24"/>
        </w:rPr>
        <w:t xml:space="preserve">vení, </w:t>
      </w:r>
      <w:proofErr w:type="gramStart"/>
      <w:r w:rsidR="00C5667F">
        <w:rPr>
          <w:szCs w:val="24"/>
        </w:rPr>
        <w:t>t</w:t>
      </w:r>
      <w:r w:rsidR="0053689D">
        <w:rPr>
          <w:szCs w:val="24"/>
        </w:rPr>
        <w:t>zn. nevystupoval</w:t>
      </w:r>
      <w:proofErr w:type="gramEnd"/>
      <w:r w:rsidR="00C5667F">
        <w:rPr>
          <w:szCs w:val="24"/>
        </w:rPr>
        <w:t xml:space="preserve"> </w:t>
      </w:r>
      <w:r w:rsidR="00C5667F" w:rsidRPr="00C5667F">
        <w:rPr>
          <w:szCs w:val="24"/>
        </w:rPr>
        <w:t xml:space="preserve">jako nositel veřejné moci, nýbrž </w:t>
      </w:r>
      <w:r w:rsidR="007E143E">
        <w:rPr>
          <w:szCs w:val="24"/>
        </w:rPr>
        <w:t>v postavení podřízeném</w:t>
      </w:r>
      <w:r w:rsidR="00C5667F">
        <w:rPr>
          <w:szCs w:val="24"/>
        </w:rPr>
        <w:t>.</w:t>
      </w:r>
      <w:r w:rsidR="0063477D">
        <w:rPr>
          <w:szCs w:val="24"/>
        </w:rPr>
        <w:t xml:space="preserve"> </w:t>
      </w:r>
      <w:r w:rsidR="0053689D">
        <w:rPr>
          <w:szCs w:val="24"/>
        </w:rPr>
        <w:t>N</w:t>
      </w:r>
      <w:r w:rsidR="0063477D">
        <w:rPr>
          <w:szCs w:val="24"/>
        </w:rPr>
        <w:t>aopak účastník řízení (orgán činný v trestním řízení) v</w:t>
      </w:r>
      <w:r w:rsidR="007E143E">
        <w:rPr>
          <w:szCs w:val="24"/>
        </w:rPr>
        <w:t>e</w:t>
      </w:r>
      <w:r w:rsidR="00CF6FD3">
        <w:rPr>
          <w:szCs w:val="24"/>
        </w:rPr>
        <w:t xml:space="preserve"> </w:t>
      </w:r>
      <w:r w:rsidR="00666A9D">
        <w:rPr>
          <w:szCs w:val="24"/>
        </w:rPr>
        <w:t>„</w:t>
      </w:r>
      <w:r w:rsidR="0063477D">
        <w:rPr>
          <w:szCs w:val="24"/>
        </w:rPr>
        <w:t>vrchnostenském</w:t>
      </w:r>
      <w:r w:rsidR="00666A9D">
        <w:rPr>
          <w:szCs w:val="24"/>
        </w:rPr>
        <w:t>“</w:t>
      </w:r>
      <w:r w:rsidR="0063477D">
        <w:rPr>
          <w:szCs w:val="24"/>
        </w:rPr>
        <w:t xml:space="preserve"> postavení </w:t>
      </w:r>
      <w:r w:rsidR="00CF6FD3">
        <w:rPr>
          <w:szCs w:val="24"/>
        </w:rPr>
        <w:t xml:space="preserve">vystupoval, když </w:t>
      </w:r>
      <w:r w:rsidR="0063477D">
        <w:rPr>
          <w:szCs w:val="24"/>
        </w:rPr>
        <w:t>autoritativně ukládal stěžovatelovi povinnosti, v</w:t>
      </w:r>
      <w:r w:rsidR="00CF6FD3">
        <w:rPr>
          <w:szCs w:val="24"/>
        </w:rPr>
        <w:t xml:space="preserve">četně jejich sankčního vymáhání, čímž mohl z pozice subjektu veřejného práva zasáhnout do základních práv a svobod stěžovatele. </w:t>
      </w:r>
    </w:p>
    <w:p w:rsidR="001A3835" w:rsidRDefault="00736FFF"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85661D">
        <w:rPr>
          <w:szCs w:val="24"/>
        </w:rPr>
        <w:t xml:space="preserve">Stěžovatel tedy byl aktivně legitimován k podání ústavní stížnosti. </w:t>
      </w:r>
      <w:r w:rsidR="009E3E9B" w:rsidRPr="0085661D">
        <w:rPr>
          <w:szCs w:val="24"/>
        </w:rPr>
        <w:t>Ústavní soud však musí dát za p</w:t>
      </w:r>
      <w:r w:rsidR="00DD2DB1" w:rsidRPr="0085661D">
        <w:rPr>
          <w:szCs w:val="24"/>
        </w:rPr>
        <w:t xml:space="preserve">ravdu </w:t>
      </w:r>
      <w:r w:rsidR="00EA6794">
        <w:rPr>
          <w:szCs w:val="24"/>
        </w:rPr>
        <w:t>Policii</w:t>
      </w:r>
      <w:r w:rsidR="001A3835">
        <w:rPr>
          <w:szCs w:val="24"/>
        </w:rPr>
        <w:t xml:space="preserve"> v tom směru</w:t>
      </w:r>
      <w:r w:rsidR="00DD2DB1" w:rsidRPr="0085661D">
        <w:rPr>
          <w:szCs w:val="24"/>
        </w:rPr>
        <w:t>, že</w:t>
      </w:r>
      <w:r w:rsidR="00B40162" w:rsidRPr="0085661D">
        <w:rPr>
          <w:szCs w:val="24"/>
        </w:rPr>
        <w:t xml:space="preserve"> nemohla být dotčena základní práva</w:t>
      </w:r>
      <w:r w:rsidR="00DD2DB1" w:rsidRPr="0085661D">
        <w:rPr>
          <w:szCs w:val="24"/>
        </w:rPr>
        <w:t xml:space="preserve"> stěžovatel</w:t>
      </w:r>
      <w:r w:rsidR="00B40162" w:rsidRPr="0085661D">
        <w:rPr>
          <w:szCs w:val="24"/>
        </w:rPr>
        <w:t xml:space="preserve">e tvrzená v ústavní stížnosti. </w:t>
      </w:r>
      <w:r w:rsidR="009D3CF6" w:rsidRPr="0085661D">
        <w:rPr>
          <w:szCs w:val="24"/>
        </w:rPr>
        <w:t xml:space="preserve">Ta totiž charakterizují </w:t>
      </w:r>
      <w:r w:rsidR="001A3835" w:rsidRPr="0085661D">
        <w:rPr>
          <w:szCs w:val="24"/>
        </w:rPr>
        <w:t xml:space="preserve">především </w:t>
      </w:r>
      <w:r w:rsidR="009D3CF6" w:rsidRPr="0085661D">
        <w:rPr>
          <w:szCs w:val="24"/>
        </w:rPr>
        <w:t>vztah státu (resp. soudní moci)</w:t>
      </w:r>
      <w:r w:rsidR="000F17CC" w:rsidRPr="0085661D">
        <w:rPr>
          <w:szCs w:val="24"/>
        </w:rPr>
        <w:t xml:space="preserve"> k soukromým osobám a ve své podstatě určují povahu materiálního právního státu. </w:t>
      </w:r>
      <w:r w:rsidR="00B40162" w:rsidRPr="0085661D">
        <w:rPr>
          <w:szCs w:val="24"/>
        </w:rPr>
        <w:t xml:space="preserve">K tvrzenému porušení čl. 2 odst. 2 a čl. 4 Listiny </w:t>
      </w:r>
      <w:r w:rsidR="000F17CC" w:rsidRPr="0085661D">
        <w:rPr>
          <w:szCs w:val="24"/>
        </w:rPr>
        <w:t xml:space="preserve">již dříve </w:t>
      </w:r>
      <w:r w:rsidR="00B40162" w:rsidRPr="0085661D">
        <w:rPr>
          <w:szCs w:val="24"/>
        </w:rPr>
        <w:t>Ústavní soud uv</w:t>
      </w:r>
      <w:r w:rsidR="000F17CC" w:rsidRPr="0085661D">
        <w:rPr>
          <w:szCs w:val="24"/>
        </w:rPr>
        <w:t>edl</w:t>
      </w:r>
      <w:r w:rsidR="00B40162" w:rsidRPr="0085661D">
        <w:rPr>
          <w:szCs w:val="24"/>
        </w:rPr>
        <w:t xml:space="preserve">, že citovaná ustanovení nezakládají samostatná subjektivní veřejná základní práva či svobody a tudíž se jich nelze domáhat samostatně (srov. též např. usnesení </w:t>
      </w:r>
      <w:proofErr w:type="spellStart"/>
      <w:r w:rsidR="00B40162" w:rsidRPr="0085661D">
        <w:rPr>
          <w:szCs w:val="24"/>
        </w:rPr>
        <w:t>sp</w:t>
      </w:r>
      <w:proofErr w:type="spellEnd"/>
      <w:r w:rsidR="00B40162" w:rsidRPr="0085661D">
        <w:rPr>
          <w:szCs w:val="24"/>
        </w:rPr>
        <w:t xml:space="preserve">. zn. IV. ÚS 2394/08 ze dne 3. 12. 2008). Obdobně ani čl. 90 Ústavy sám o sobě subjektivní veřejné ústavně zaručené základní právo stěžovatele nezakládá, neboť obsahuje především institucionální záruku soudní pravomoci v oblasti práva soukromého a práva trestního, dělby moci a nezávislosti soudů a soudců [viz např. nález </w:t>
      </w:r>
      <w:proofErr w:type="spellStart"/>
      <w:r w:rsidR="00B40162" w:rsidRPr="0085661D">
        <w:rPr>
          <w:szCs w:val="24"/>
        </w:rPr>
        <w:t>sp</w:t>
      </w:r>
      <w:proofErr w:type="spellEnd"/>
      <w:r w:rsidR="00B40162" w:rsidRPr="0085661D">
        <w:rPr>
          <w:szCs w:val="24"/>
        </w:rPr>
        <w:t xml:space="preserve">. zn. IV. ÚS 285/02 ze dne 29. 5. 2003 (N 73/30 </w:t>
      </w:r>
      <w:proofErr w:type="spellStart"/>
      <w:r w:rsidR="00B40162" w:rsidRPr="0085661D">
        <w:rPr>
          <w:szCs w:val="24"/>
        </w:rPr>
        <w:t>SbNU</w:t>
      </w:r>
      <w:proofErr w:type="spellEnd"/>
      <w:r w:rsidR="00B40162" w:rsidRPr="0085661D">
        <w:rPr>
          <w:szCs w:val="24"/>
        </w:rPr>
        <w:t xml:space="preserve"> 193)].</w:t>
      </w:r>
      <w:r w:rsidR="000F17CC" w:rsidRPr="0085661D">
        <w:rPr>
          <w:szCs w:val="24"/>
        </w:rPr>
        <w:t xml:space="preserve"> Stejně tak čl. 2 odst. 3 </w:t>
      </w:r>
      <w:r w:rsidR="001A3835">
        <w:rPr>
          <w:szCs w:val="24"/>
        </w:rPr>
        <w:t xml:space="preserve">Listiny </w:t>
      </w:r>
      <w:r w:rsidR="000F17CC" w:rsidRPr="0085661D">
        <w:rPr>
          <w:szCs w:val="24"/>
        </w:rPr>
        <w:t>lze chápat za ústavně-normativní základ oddělení státu (veřejné moci) a občanské společnosti, resp. jednotlivých soukromých osob s jejich základními právy.</w:t>
      </w:r>
      <w:r w:rsidR="00E31083" w:rsidRPr="0085661D">
        <w:rPr>
          <w:szCs w:val="24"/>
        </w:rPr>
        <w:t xml:space="preserve"> </w:t>
      </w:r>
    </w:p>
    <w:p w:rsidR="0055362F" w:rsidRPr="00B34024" w:rsidRDefault="00E31083" w:rsidP="00B34024">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B34024">
        <w:rPr>
          <w:szCs w:val="24"/>
        </w:rPr>
        <w:t>K</w:t>
      </w:r>
      <w:r w:rsidR="001A3835" w:rsidRPr="00B34024">
        <w:rPr>
          <w:szCs w:val="24"/>
        </w:rPr>
        <w:t> </w:t>
      </w:r>
      <w:r w:rsidR="00982766" w:rsidRPr="00B34024">
        <w:rPr>
          <w:szCs w:val="24"/>
        </w:rPr>
        <w:t>ustanovení čl. 2 odst. 3 Listiny</w:t>
      </w:r>
      <w:r w:rsidRPr="00B34024">
        <w:rPr>
          <w:szCs w:val="24"/>
        </w:rPr>
        <w:t xml:space="preserve"> přitom judikatura zdejšího soudu dodala, že je třeba je chápat ve dvojím smyslu. Ve své první dimenzi představuj</w:t>
      </w:r>
      <w:r w:rsidR="00B34024" w:rsidRPr="00B34024">
        <w:rPr>
          <w:szCs w:val="24"/>
        </w:rPr>
        <w:t>e</w:t>
      </w:r>
      <w:r w:rsidRPr="00B34024">
        <w:rPr>
          <w:szCs w:val="24"/>
        </w:rPr>
        <w:t xml:space="preserve"> strukturální princip, podle něhož lze státní moc vůči jednotlivci a jeho autonomní sféře (včetně autonomních projevů volních) uplatňovat pouze v případech, kdy jednání jednotlivce porušuje výslovně formulovaný zákaz </w:t>
      </w:r>
      <w:r w:rsidRPr="00B34024">
        <w:rPr>
          <w:szCs w:val="24"/>
        </w:rPr>
        <w:lastRenderedPageBreak/>
        <w:t xml:space="preserve">upravený zákonem. </w:t>
      </w:r>
      <w:r w:rsidR="00CF6FD3" w:rsidRPr="00B34024">
        <w:rPr>
          <w:szCs w:val="24"/>
        </w:rPr>
        <w:t>T</w:t>
      </w:r>
      <w:r w:rsidRPr="00B34024">
        <w:rPr>
          <w:szCs w:val="24"/>
        </w:rPr>
        <w:t xml:space="preserve">akový zákaz však musí reflektovat toliko požadavek, spočívající v zabránění jednotlivci v zásazích do práv třetích osob a v prosazení veřejného zájmu, je-li legitimní a proporcionální takovému omezení autonomního jednání jednotlivce. </w:t>
      </w:r>
      <w:r w:rsidR="00CF6FD3" w:rsidRPr="00B34024">
        <w:rPr>
          <w:szCs w:val="24"/>
        </w:rPr>
        <w:t>Tento</w:t>
      </w:r>
      <w:r w:rsidRPr="00B34024">
        <w:rPr>
          <w:szCs w:val="24"/>
        </w:rPr>
        <w:t xml:space="preserve"> princip je pak třeba chápat jako esenciální náležitost každého demokratického právního státu (čl. 1 odst. 1 Ústavy). Ve své druhé dimenzi pak působí čl. 2 odst. 3 Listiny jako subjektivní právo jednotlivce na to, aby veřejná moc respektovala autonomní projevy jeho osobnosti, včetně projevů volních, které mají odraz v jeho konkrétním jednání, pokud takové jednání nen</w:t>
      </w:r>
      <w:r w:rsidR="00CF6FD3" w:rsidRPr="00B34024">
        <w:rPr>
          <w:szCs w:val="24"/>
        </w:rPr>
        <w:t xml:space="preserve">í zákonem výslovně zakázáno. V této </w:t>
      </w:r>
      <w:r w:rsidRPr="00B34024">
        <w:rPr>
          <w:szCs w:val="24"/>
        </w:rPr>
        <w:t xml:space="preserve">druhé dimenzi, v níž působí jako základní právo jednotlivce, je pak třeba </w:t>
      </w:r>
      <w:r w:rsidR="00CF6FD3" w:rsidRPr="00B34024">
        <w:rPr>
          <w:szCs w:val="24"/>
        </w:rPr>
        <w:t xml:space="preserve">jej </w:t>
      </w:r>
      <w:r w:rsidRPr="00B34024">
        <w:rPr>
          <w:szCs w:val="24"/>
        </w:rPr>
        <w:t xml:space="preserve">aplikovat bezprostředně a přímo, neboť se nejedná o pouhé </w:t>
      </w:r>
      <w:r w:rsidR="00982766" w:rsidRPr="00B34024">
        <w:rPr>
          <w:szCs w:val="24"/>
        </w:rPr>
        <w:t xml:space="preserve">uplatňování tohoto principu při výkladu </w:t>
      </w:r>
      <w:proofErr w:type="spellStart"/>
      <w:r w:rsidR="00982766" w:rsidRPr="00B34024">
        <w:rPr>
          <w:szCs w:val="24"/>
        </w:rPr>
        <w:t>podústavního</w:t>
      </w:r>
      <w:proofErr w:type="spellEnd"/>
      <w:r w:rsidR="00982766" w:rsidRPr="00B34024">
        <w:rPr>
          <w:szCs w:val="24"/>
        </w:rPr>
        <w:t xml:space="preserve"> práva</w:t>
      </w:r>
      <w:r w:rsidRPr="00B34024">
        <w:rPr>
          <w:szCs w:val="24"/>
        </w:rPr>
        <w:t xml:space="preserve">, nýbrž o subjektivní právo, které působí bezprostředně vůči státní moci. Takové pojetí čl. 2 odst. 3 Listiny totiž vyjadřuje skutečnost, že jednotlivec a jeho svobodné jednání má v materiálním právním státě vždy prioritu před státní mocí realizovanou zákonem. Pokud by jednotlivec neměl vůbec mít možnost dovolávat se této priority přímo, byla by taková přednost pouhou formální deklarací [viz nález </w:t>
      </w:r>
      <w:proofErr w:type="spellStart"/>
      <w:r w:rsidRPr="00B34024">
        <w:rPr>
          <w:szCs w:val="24"/>
        </w:rPr>
        <w:t>sp</w:t>
      </w:r>
      <w:proofErr w:type="spellEnd"/>
      <w:r w:rsidRPr="00B34024">
        <w:rPr>
          <w:szCs w:val="24"/>
        </w:rPr>
        <w:t xml:space="preserve">. zn. I. ÚS 43/04 ze dne 13. 4. 2004 (N 54/33 </w:t>
      </w:r>
      <w:proofErr w:type="spellStart"/>
      <w:r w:rsidRPr="00B34024">
        <w:rPr>
          <w:szCs w:val="24"/>
        </w:rPr>
        <w:t>SbNU</w:t>
      </w:r>
      <w:proofErr w:type="spellEnd"/>
      <w:r w:rsidRPr="00B34024">
        <w:rPr>
          <w:szCs w:val="24"/>
        </w:rPr>
        <w:t xml:space="preserve"> 55)]. </w:t>
      </w:r>
      <w:r w:rsidR="00CF6FD3" w:rsidRPr="00B34024">
        <w:rPr>
          <w:szCs w:val="24"/>
        </w:rPr>
        <w:t>Jak ale z uvedeného vyplývá, v</w:t>
      </w:r>
      <w:r w:rsidRPr="00B34024">
        <w:rPr>
          <w:szCs w:val="24"/>
        </w:rPr>
        <w:t xml:space="preserve"> případě tohoto práva obzvláště platí, že stát (či jakýkoli subjekt státu) nemůže být jeho nositelem, nýbrž je vždy pouze jeho adresátem, neboť dotčené články Listiny upravují základní pravidla pro výkon veřejné moci v právním státě </w:t>
      </w:r>
      <w:r w:rsidR="00CF6FD3" w:rsidRPr="00B34024">
        <w:rPr>
          <w:szCs w:val="24"/>
        </w:rPr>
        <w:t>vůči jednotlivci</w:t>
      </w:r>
      <w:r w:rsidRPr="00B34024">
        <w:rPr>
          <w:szCs w:val="24"/>
        </w:rPr>
        <w:t xml:space="preserve">. </w:t>
      </w:r>
    </w:p>
    <w:p w:rsidR="009E3E9B" w:rsidRPr="00B34024" w:rsidRDefault="009E3E9B"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t xml:space="preserve">Zároveň </w:t>
      </w:r>
      <w:r w:rsidR="001A3835">
        <w:t>však</w:t>
      </w:r>
      <w:r>
        <w:t xml:space="preserve"> </w:t>
      </w:r>
      <w:r w:rsidRPr="00E33DB9">
        <w:t xml:space="preserve">Ústavní soud </w:t>
      </w:r>
      <w:r>
        <w:t>připomíná svoji ustálenou judikaturu</w:t>
      </w:r>
      <w:r w:rsidRPr="00E33DB9">
        <w:t xml:space="preserve">, </w:t>
      </w:r>
      <w:r>
        <w:t>dle níž</w:t>
      </w:r>
      <w:r w:rsidRPr="00E33DB9">
        <w:t xml:space="preserve"> je </w:t>
      </w:r>
      <w:r w:rsidR="00CF6FD3">
        <w:t xml:space="preserve">při svém rozhodování </w:t>
      </w:r>
      <w:r w:rsidRPr="00E33DB9">
        <w:t>vázán pouze petitem ústavní stížnosti, nikoli jejím odůvodněním, čímž nutno rozumět ústavněprávní kvalifikaci skutečností, které stěžovatel uvedl v ústavní stížnosti a v nichž spatřuje porušení svých ústavou zaruč</w:t>
      </w:r>
      <w:r>
        <w:t>ených základních práv a svobod [</w:t>
      </w:r>
      <w:r w:rsidRPr="0022096F">
        <w:t xml:space="preserve">nález </w:t>
      </w:r>
      <w:proofErr w:type="spellStart"/>
      <w:r w:rsidRPr="0022096F">
        <w:t>sp</w:t>
      </w:r>
      <w:proofErr w:type="spellEnd"/>
      <w:r w:rsidRPr="0022096F">
        <w:t xml:space="preserve">. zn. III. ÚS 1076/07 ze dne 21. 1. 2008 (N 14/48 </w:t>
      </w:r>
      <w:proofErr w:type="spellStart"/>
      <w:r w:rsidRPr="0022096F">
        <w:t>SbNU</w:t>
      </w:r>
      <w:proofErr w:type="spellEnd"/>
      <w:r w:rsidRPr="0022096F">
        <w:t xml:space="preserve"> 145)</w:t>
      </w:r>
      <w:r>
        <w:t>].</w:t>
      </w:r>
      <w:r w:rsidRPr="00C511F3">
        <w:t xml:space="preserve"> </w:t>
      </w:r>
      <w:r w:rsidRPr="007F58B8">
        <w:t xml:space="preserve">Ústavní soud </w:t>
      </w:r>
      <w:r>
        <w:t xml:space="preserve">tedy není vázán </w:t>
      </w:r>
      <w:r w:rsidRPr="007F58B8">
        <w:t>argumenty, které stěžovatel sám uvádí. Proto</w:t>
      </w:r>
      <w:r w:rsidR="00CF6FD3">
        <w:t xml:space="preserve"> může zkoumat</w:t>
      </w:r>
      <w:r w:rsidRPr="007F58B8">
        <w:t xml:space="preserve"> </w:t>
      </w:r>
      <w:r w:rsidR="00CF6FD3">
        <w:t xml:space="preserve">(a v nyní projednávaném případě také </w:t>
      </w:r>
      <w:r w:rsidRPr="007F58B8">
        <w:t>zkoumal</w:t>
      </w:r>
      <w:r w:rsidR="009D73C4">
        <w:t>)</w:t>
      </w:r>
      <w:r w:rsidRPr="007F58B8">
        <w:t>, zda napadenými rozhodnutími nebyla porušena některá jiná ústavně zaručená základní práva nebo svobody stěžovatel</w:t>
      </w:r>
      <w:r>
        <w:t>e</w:t>
      </w:r>
      <w:r w:rsidR="007B31A2">
        <w:t>,</w:t>
      </w:r>
      <w:r>
        <w:t xml:space="preserve"> </w:t>
      </w:r>
      <w:proofErr w:type="gramStart"/>
      <w:r>
        <w:t>než</w:t>
      </w:r>
      <w:r w:rsidR="001A3835">
        <w:t>-</w:t>
      </w:r>
      <w:r>
        <w:t xml:space="preserve">li </w:t>
      </w:r>
      <w:r w:rsidR="0085661D">
        <w:t>sám</w:t>
      </w:r>
      <w:proofErr w:type="gramEnd"/>
      <w:r w:rsidR="0085661D">
        <w:t xml:space="preserve"> stěžovatel </w:t>
      </w:r>
      <w:r>
        <w:t>tvrdí v podané ústavní stížnosti</w:t>
      </w:r>
      <w:r w:rsidRPr="007F58B8">
        <w:t xml:space="preserve">. Zejména se zaměřil na otázku, zda </w:t>
      </w:r>
      <w:r w:rsidRPr="001E1671">
        <w:t>napadená rozhodnutí nezasahují do základního práva stěžovatel</w:t>
      </w:r>
      <w:r>
        <w:t>e na ochranu vlastnictví zaručeného</w:t>
      </w:r>
      <w:r w:rsidRPr="001E1671">
        <w:t xml:space="preserve"> </w:t>
      </w:r>
      <w:r>
        <w:t xml:space="preserve">čl. 11 </w:t>
      </w:r>
      <w:r w:rsidR="001A3835">
        <w:t xml:space="preserve">odst. 1 </w:t>
      </w:r>
      <w:r>
        <w:t>Listiny</w:t>
      </w:r>
      <w:r w:rsidR="00E911EA">
        <w:t>.</w:t>
      </w:r>
      <w:r>
        <w:t xml:space="preserve"> </w:t>
      </w:r>
      <w:r w:rsidR="009D73C4">
        <w:t>Dospěl přitom k závěru, že do tohoto základního práva stěžovatele zasaženo bylo</w:t>
      </w:r>
      <w:r w:rsidR="009D73C4" w:rsidRPr="00B34024">
        <w:t>.</w:t>
      </w:r>
      <w:r w:rsidR="00365C15" w:rsidRPr="00B34024">
        <w:t xml:space="preserve"> Jakkoliv se sice – z hlediska výše uložené pokuty – jednalo o záležitost bagatelní, nemohl Ústavní soud přehlédnout, že tento případ </w:t>
      </w:r>
      <w:r w:rsidR="00924181" w:rsidRPr="00B34024">
        <w:t xml:space="preserve">zjevně </w:t>
      </w:r>
      <w:r w:rsidR="00365C15" w:rsidRPr="00B34024">
        <w:t>přesahuje vlastní zájmy stěžovatele, a to jednak proto, že předmětná pokuta byla stěžovateli uložena z důvodu, že argumentoval ochranou soukromí fyzické osoby, a také proto, že je zjevně dána potřeba ústavněprávně vyložit (potenciální) kolizi mezi některými základními právy na st</w:t>
      </w:r>
      <w:r w:rsidR="001659CB">
        <w:t xml:space="preserve">raně jedné a legitimním zájmem </w:t>
      </w:r>
      <w:r w:rsidR="00365C15" w:rsidRPr="00B34024">
        <w:t>státu na objasňování a vyšetřování</w:t>
      </w:r>
      <w:r w:rsidR="00B77803" w:rsidRPr="00B34024">
        <w:t>, což ostatně plyne i z vyjádření</w:t>
      </w:r>
      <w:r w:rsidR="00365C15" w:rsidRPr="00B34024">
        <w:t xml:space="preserve"> </w:t>
      </w:r>
      <w:r w:rsidR="00B77803" w:rsidRPr="00B34024">
        <w:t>účastníků řízení.</w:t>
      </w:r>
    </w:p>
    <w:p w:rsidR="0070107C" w:rsidRDefault="0042237D"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894909">
        <w:rPr>
          <w:szCs w:val="24"/>
        </w:rPr>
        <w:t xml:space="preserve">Stěžejní otázkou v nyní posuzovaném případě je, </w:t>
      </w:r>
      <w:proofErr w:type="gramStart"/>
      <w:r w:rsidRPr="00894909">
        <w:rPr>
          <w:szCs w:val="24"/>
        </w:rPr>
        <w:t>zda</w:t>
      </w:r>
      <w:r w:rsidR="00924181">
        <w:rPr>
          <w:szCs w:val="24"/>
        </w:rPr>
        <w:t>-</w:t>
      </w:r>
      <w:r w:rsidRPr="00894909">
        <w:rPr>
          <w:szCs w:val="24"/>
        </w:rPr>
        <w:t>li</w:t>
      </w:r>
      <w:r w:rsidR="00894909" w:rsidRPr="00894909">
        <w:rPr>
          <w:szCs w:val="24"/>
        </w:rPr>
        <w:t xml:space="preserve"> při</w:t>
      </w:r>
      <w:proofErr w:type="gramEnd"/>
      <w:r w:rsidR="00894909" w:rsidRPr="00894909">
        <w:rPr>
          <w:szCs w:val="24"/>
        </w:rPr>
        <w:t xml:space="preserve"> sdělování údajů nebo jiných skutečností pro potřeby trestního řízení poskytovatelem zdravotních služeb dle ustanovení § 51 odst. 2 písm. d) zákona o zdravotních službách je nezbytný předchozí souhlas soud</w:t>
      </w:r>
      <w:r w:rsidR="00DF5E0B">
        <w:rPr>
          <w:szCs w:val="24"/>
        </w:rPr>
        <w:t>ce udělený podle § 8 odst. 5 trestního řádu</w:t>
      </w:r>
      <w:r w:rsidR="00894909" w:rsidRPr="00894909">
        <w:rPr>
          <w:szCs w:val="24"/>
        </w:rPr>
        <w:t xml:space="preserve">. </w:t>
      </w:r>
      <w:r w:rsidRPr="00894909">
        <w:rPr>
          <w:szCs w:val="24"/>
        </w:rPr>
        <w:t xml:space="preserve">Pokud by totiž tento souhlas soudu byl </w:t>
      </w:r>
      <w:r w:rsidR="009D73C4" w:rsidRPr="00894909">
        <w:rPr>
          <w:szCs w:val="24"/>
        </w:rPr>
        <w:t xml:space="preserve">k poskytnutí těchto informací </w:t>
      </w:r>
      <w:r w:rsidRPr="00894909">
        <w:rPr>
          <w:szCs w:val="24"/>
        </w:rPr>
        <w:t>nezbytný, postupoval stěžovatel správně, pokud požadované informace účastníkovi řízení nesdělil</w:t>
      </w:r>
      <w:r w:rsidR="004D28BB">
        <w:rPr>
          <w:szCs w:val="24"/>
        </w:rPr>
        <w:t>,</w:t>
      </w:r>
      <w:r w:rsidRPr="00894909">
        <w:rPr>
          <w:szCs w:val="24"/>
        </w:rPr>
        <w:t xml:space="preserve"> a ten naopak neodůvodněně zasáhl do vlastnického práva stěžovatele, pokud mu udělil pořádkovou pokutu pro nevyhovění výzvě, </w:t>
      </w:r>
      <w:r w:rsidR="00894909">
        <w:rPr>
          <w:szCs w:val="24"/>
        </w:rPr>
        <w:t xml:space="preserve">neboť </w:t>
      </w:r>
      <w:r w:rsidR="004D28BB">
        <w:rPr>
          <w:szCs w:val="24"/>
        </w:rPr>
        <w:t>ta by nesplňovala</w:t>
      </w:r>
      <w:r w:rsidR="00894909">
        <w:rPr>
          <w:szCs w:val="24"/>
        </w:rPr>
        <w:t xml:space="preserve"> všechny podmínky pro</w:t>
      </w:r>
      <w:r w:rsidR="00AA4CC2">
        <w:rPr>
          <w:szCs w:val="24"/>
        </w:rPr>
        <w:t xml:space="preserve"> </w:t>
      </w:r>
      <w:r w:rsidR="004D28BB">
        <w:rPr>
          <w:szCs w:val="24"/>
        </w:rPr>
        <w:t>její vydání a požadování předmětných informací</w:t>
      </w:r>
      <w:r w:rsidR="00894909">
        <w:rPr>
          <w:szCs w:val="24"/>
        </w:rPr>
        <w:t>.</w:t>
      </w:r>
      <w:r w:rsidR="009D73C4">
        <w:rPr>
          <w:szCs w:val="24"/>
        </w:rPr>
        <w:t xml:space="preserve"> </w:t>
      </w:r>
    </w:p>
    <w:p w:rsidR="00924181" w:rsidRDefault="0070107C"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rsidRPr="0070107C">
        <w:rPr>
          <w:szCs w:val="24"/>
        </w:rPr>
        <w:t>Dožádání a</w:t>
      </w:r>
      <w:r w:rsidR="009D73C4">
        <w:rPr>
          <w:szCs w:val="24"/>
        </w:rPr>
        <w:t xml:space="preserve"> poskytování informací pro účely trestního řízení (včetně</w:t>
      </w:r>
      <w:r w:rsidRPr="0070107C">
        <w:rPr>
          <w:szCs w:val="24"/>
        </w:rPr>
        <w:t xml:space="preserve"> ochran</w:t>
      </w:r>
      <w:r w:rsidR="009D73C4">
        <w:rPr>
          <w:szCs w:val="24"/>
        </w:rPr>
        <w:t>y</w:t>
      </w:r>
      <w:r w:rsidRPr="0070107C">
        <w:rPr>
          <w:szCs w:val="24"/>
        </w:rPr>
        <w:t xml:space="preserve"> utajovaných skutečností a údajů, na něž se vztahuje </w:t>
      </w:r>
      <w:r>
        <w:rPr>
          <w:szCs w:val="24"/>
        </w:rPr>
        <w:t xml:space="preserve">povinnost </w:t>
      </w:r>
      <w:r w:rsidRPr="0070107C">
        <w:rPr>
          <w:szCs w:val="24"/>
        </w:rPr>
        <w:t>mlčenlivost</w:t>
      </w:r>
      <w:r>
        <w:rPr>
          <w:szCs w:val="24"/>
        </w:rPr>
        <w:t>i</w:t>
      </w:r>
      <w:r w:rsidR="009D73C4">
        <w:rPr>
          <w:szCs w:val="24"/>
        </w:rPr>
        <w:t>)</w:t>
      </w:r>
      <w:r>
        <w:rPr>
          <w:szCs w:val="24"/>
        </w:rPr>
        <w:t xml:space="preserve">, obecně upravuje ustanovení § 8 </w:t>
      </w:r>
      <w:r w:rsidR="009D73C4">
        <w:rPr>
          <w:szCs w:val="24"/>
        </w:rPr>
        <w:t xml:space="preserve">odst. 1 </w:t>
      </w:r>
      <w:r w:rsidR="00675D0A">
        <w:rPr>
          <w:szCs w:val="24"/>
        </w:rPr>
        <w:t xml:space="preserve">věta prvá </w:t>
      </w:r>
      <w:r>
        <w:rPr>
          <w:szCs w:val="24"/>
        </w:rPr>
        <w:t>trestního řádu, dle něhož jsou s</w:t>
      </w:r>
      <w:r w:rsidRPr="0070107C">
        <w:rPr>
          <w:szCs w:val="24"/>
        </w:rPr>
        <w:t>tátní orgány, právnické a fyzické osoby povinny bez zbytečného odkladu, a nestanoví-li zvláštní předpis jinak, i bez úplaty vyhovovat dožádáním orgánů činných v trestním řízení při plnění jejich úkolů.</w:t>
      </w:r>
      <w:r w:rsidRPr="0070107C">
        <w:t xml:space="preserve"> </w:t>
      </w:r>
      <w:r>
        <w:t>Ustanovení § 8 odst. 5</w:t>
      </w:r>
      <w:r w:rsidR="00675D0A">
        <w:t xml:space="preserve"> věta prvá</w:t>
      </w:r>
      <w:r>
        <w:t xml:space="preserve"> trestního řádu pak normuje, že n</w:t>
      </w:r>
      <w:r w:rsidRPr="00D86E82">
        <w:t xml:space="preserve">estanoví-li zvláštní zákon podmínky, za nichž lze </w:t>
      </w:r>
      <w:r w:rsidRPr="00D86E82">
        <w:lastRenderedPageBreak/>
        <w:t>pro účely trestního řízení sdělovat informace, které jsou podle takového zákona utajovány, nebo na něž se vztahuje povinnost mlčenlivosti, lze tyto informace pro trestní řízení vyžadovat po předchozím souhlasu soudce</w:t>
      </w:r>
      <w:r>
        <w:t xml:space="preserve">. </w:t>
      </w:r>
    </w:p>
    <w:p w:rsidR="004D28BB" w:rsidRPr="00CF1E0C" w:rsidRDefault="004D28BB"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t>Dotčené u</w:t>
      </w:r>
      <w:r w:rsidRPr="00C7023D">
        <w:rPr>
          <w:szCs w:val="24"/>
        </w:rPr>
        <w:t xml:space="preserve">stanovení bylo do trestního řádu doplněno tzv. velkou novelou, provedenou zákonem č. 265/2001 Sb. Bylo tak reagováno mimo jiné na skutečnost, že právní úprava mlčenlivosti, uložená osobám nejrůznějšími právními předpisy, je velmi nejednotná, nesystematická, a zejména ve starších předpisech již neodpovídá současným organizačním a právním vztahům. Některé z těchto předpisů totiž jen obecně stanoví povinnost dodržovat nebo respektovat mlčenlivost, v jiných se lze setkat i s vymezením okruhu skutečností, jichž se mlčenlivost týká, s vymezením okruhu osob, které jsou vázány mlčenlivostí, s důvody jejich zproštění mlčenlivosti, resp. jejího prolomení, a s tím, kdo je oprávněn určitou osobu zprostit mlčenlivosti; některé z předpisů pak stanoví, že pro účely trestního řízení se osoby jinak vázané mlčenlivostí považují ze zákona za zproštěné této mlčenlivosti </w:t>
      </w:r>
      <w:r w:rsidR="00DA4F7C">
        <w:rPr>
          <w:rFonts w:cs="Times New Roman"/>
          <w:szCs w:val="24"/>
        </w:rPr>
        <w:t>[</w:t>
      </w:r>
      <w:r w:rsidRPr="00C7023D">
        <w:rPr>
          <w:szCs w:val="24"/>
        </w:rPr>
        <w:t xml:space="preserve">viz např. </w:t>
      </w:r>
      <w:r w:rsidR="00DA4F7C">
        <w:rPr>
          <w:szCs w:val="24"/>
        </w:rPr>
        <w:t xml:space="preserve">§ 117 odst. 1 písm. c) </w:t>
      </w:r>
      <w:r w:rsidRPr="00C7023D">
        <w:rPr>
          <w:szCs w:val="24"/>
        </w:rPr>
        <w:t>zák</w:t>
      </w:r>
      <w:r>
        <w:rPr>
          <w:szCs w:val="24"/>
        </w:rPr>
        <w:t>on</w:t>
      </w:r>
      <w:r w:rsidR="00DA4F7C">
        <w:rPr>
          <w:szCs w:val="24"/>
        </w:rPr>
        <w:t>a</w:t>
      </w:r>
      <w:r w:rsidRPr="00C7023D">
        <w:rPr>
          <w:szCs w:val="24"/>
        </w:rPr>
        <w:t xml:space="preserve"> č. 256/2004 Sb., o podnikání na kapitálovém </w:t>
      </w:r>
      <w:r w:rsidR="00F07FF4">
        <w:rPr>
          <w:szCs w:val="24"/>
        </w:rPr>
        <w:t xml:space="preserve">trhu; </w:t>
      </w:r>
      <w:r>
        <w:rPr>
          <w:szCs w:val="24"/>
        </w:rPr>
        <w:t xml:space="preserve">k tomu viz také </w:t>
      </w:r>
      <w:r w:rsidR="00CF1E0C" w:rsidRPr="00CF1E0C">
        <w:rPr>
          <w:szCs w:val="24"/>
        </w:rPr>
        <w:t xml:space="preserve">usnesení </w:t>
      </w:r>
      <w:proofErr w:type="spellStart"/>
      <w:r w:rsidR="00CF1E0C" w:rsidRPr="00CF1E0C">
        <w:rPr>
          <w:szCs w:val="24"/>
        </w:rPr>
        <w:t>sp</w:t>
      </w:r>
      <w:proofErr w:type="spellEnd"/>
      <w:r w:rsidR="00CF1E0C" w:rsidRPr="00CF1E0C">
        <w:rPr>
          <w:szCs w:val="24"/>
        </w:rPr>
        <w:t>. zn. III. ÚS 2697/14 ze dne 19. 8. 2014</w:t>
      </w:r>
      <w:r w:rsidR="00DA4F7C">
        <w:rPr>
          <w:rFonts w:cs="Times New Roman"/>
          <w:szCs w:val="24"/>
        </w:rPr>
        <w:t>]</w:t>
      </w:r>
      <w:r w:rsidRPr="00C7023D">
        <w:rPr>
          <w:szCs w:val="24"/>
        </w:rPr>
        <w:t>.</w:t>
      </w:r>
    </w:p>
    <w:p w:rsidR="00BA1CA9" w:rsidRDefault="0070107C"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t xml:space="preserve">Při poskytování informací </w:t>
      </w:r>
      <w:r w:rsidR="00542FF1">
        <w:t xml:space="preserve">pro účely trestního řízení </w:t>
      </w:r>
      <w:r>
        <w:t xml:space="preserve">ze strany poskytovatelů zdravotních služeb je tímto </w:t>
      </w:r>
      <w:r w:rsidR="006801DC">
        <w:t xml:space="preserve">zvláštním </w:t>
      </w:r>
      <w:r>
        <w:t>zákonem zákon o zdravotních službách</w:t>
      </w:r>
      <w:r w:rsidR="00542FF1">
        <w:t xml:space="preserve">. </w:t>
      </w:r>
      <w:r w:rsidR="00CF1E0C">
        <w:t>Ten</w:t>
      </w:r>
      <w:r w:rsidR="00542FF1">
        <w:t xml:space="preserve"> v </w:t>
      </w:r>
      <w:r>
        <w:t xml:space="preserve">ustanovení § 51 </w:t>
      </w:r>
      <w:r w:rsidR="00542FF1">
        <w:t>odst. 1 stanoví, že p</w:t>
      </w:r>
      <w:r w:rsidR="00542FF1" w:rsidRPr="00542FF1">
        <w:t xml:space="preserve">oskytovatel </w:t>
      </w:r>
      <w:r w:rsidR="00542FF1">
        <w:t xml:space="preserve">je </w:t>
      </w:r>
      <w:r w:rsidR="00542FF1" w:rsidRPr="00542FF1">
        <w:t>povinen zachovat mlčenlivost o všech skutečnostech, o kterých se dozvěděl v souvislosti s poskytováním zdravotních služeb. Za porušení povinné mlčenlivosti se</w:t>
      </w:r>
      <w:r w:rsidR="00542FF1">
        <w:t xml:space="preserve"> však dle ustanovení § 51 odst. 2 písm. d)</w:t>
      </w:r>
      <w:r w:rsidR="00542FF1" w:rsidRPr="00542FF1">
        <w:t xml:space="preserve"> nepovažuje sdělování údajů nebo jiných skutečností pro potřeby trestního řízení způsobem stanoveným právními předpisy upravujícími trestní řízení; za porušení povinné mlčenlivosti se rovněž nepovažuje sdělování údajů nebo jiných skutečností při plnění zákonem uložené povinnosti překazit nebo oznámit spá</w:t>
      </w:r>
      <w:r w:rsidR="00BA1CA9">
        <w:t>c</w:t>
      </w:r>
      <w:r w:rsidR="00542FF1" w:rsidRPr="00542FF1">
        <w:t>hání trestného činu.</w:t>
      </w:r>
    </w:p>
    <w:p w:rsidR="00BA1CA9" w:rsidRDefault="00BA1CA9"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t>V nyní posuzovaném případě tedy došlo ke střetu práv</w:t>
      </w:r>
      <w:r w:rsidR="00DA4F7C">
        <w:t>,</w:t>
      </w:r>
      <w:r>
        <w:t xml:space="preserve"> resp. povinností stěžovatele a </w:t>
      </w:r>
      <w:r w:rsidR="00FA763A">
        <w:t>oprávnění a povinností Police</w:t>
      </w:r>
      <w:r>
        <w:t xml:space="preserve">. </w:t>
      </w:r>
      <w:r w:rsidR="00FA763A">
        <w:t>Policie</w:t>
      </w:r>
      <w:r>
        <w:t xml:space="preserve"> jako </w:t>
      </w:r>
      <w:r w:rsidRPr="0018395C">
        <w:t>orgán činn</w:t>
      </w:r>
      <w:r>
        <w:t>ý</w:t>
      </w:r>
      <w:r w:rsidRPr="0018395C">
        <w:t xml:space="preserve"> v trestním řízení </w:t>
      </w:r>
      <w:r>
        <w:t xml:space="preserve">je </w:t>
      </w:r>
      <w:r w:rsidR="00CF1E0C">
        <w:t xml:space="preserve">totiž </w:t>
      </w:r>
      <w:r>
        <w:t>povinn</w:t>
      </w:r>
      <w:r w:rsidR="00B34024">
        <w:t>a</w:t>
      </w:r>
      <w:r>
        <w:t xml:space="preserve"> postupovat v trestním řízení z úřední povinnosti a t</w:t>
      </w:r>
      <w:r w:rsidRPr="0018395C">
        <w:t>restní věci musí projednávat urychleně bez zbytečných průtahů</w:t>
      </w:r>
      <w:r>
        <w:t xml:space="preserve"> (viz ustanovení § 2 odst. 4 </w:t>
      </w:r>
      <w:r w:rsidR="00FA763A">
        <w:t xml:space="preserve">věta prvá a druhá </w:t>
      </w:r>
      <w:r>
        <w:t xml:space="preserve">trestního řádu). Musí přitom </w:t>
      </w:r>
      <w:r w:rsidRPr="00F247B7">
        <w:t>v souladu se svými právy a povinnostmi uvedenými v</w:t>
      </w:r>
      <w:r>
        <w:t> trestním řádu</w:t>
      </w:r>
      <w:r w:rsidRPr="00F247B7">
        <w:t xml:space="preserve"> a za součinnosti stran </w:t>
      </w:r>
      <w:r>
        <w:t xml:space="preserve">postupovat </w:t>
      </w:r>
      <w:r w:rsidRPr="00F247B7">
        <w:t xml:space="preserve">tak, aby byl zjištěn skutkový stav věci, o němž nejsou důvodné pochybnosti, a to v rozsahu, který je nezbytný pro </w:t>
      </w:r>
      <w:r w:rsidR="00155E81">
        <w:t>je</w:t>
      </w:r>
      <w:r w:rsidR="00B34024">
        <w:t>jí</w:t>
      </w:r>
      <w:r w:rsidR="00155E81" w:rsidRPr="00F247B7">
        <w:t xml:space="preserve"> </w:t>
      </w:r>
      <w:r w:rsidRPr="00F247B7">
        <w:t>rozhodnutí</w:t>
      </w:r>
      <w:r>
        <w:t xml:space="preserve"> (viz ustanovení § 2 odst. 5 </w:t>
      </w:r>
      <w:r w:rsidR="00FA763A">
        <w:t xml:space="preserve">věta prvá </w:t>
      </w:r>
      <w:r>
        <w:t>trestního řádu)</w:t>
      </w:r>
      <w:r w:rsidRPr="00F247B7">
        <w:t>.</w:t>
      </w:r>
      <w:r>
        <w:t xml:space="preserve"> </w:t>
      </w:r>
      <w:r w:rsidR="009766EF" w:rsidRPr="009766EF">
        <w:t xml:space="preserve">Jak vyslovil Ústavní soud </w:t>
      </w:r>
      <w:r w:rsidR="00155E81">
        <w:t xml:space="preserve">v </w:t>
      </w:r>
      <w:r w:rsidR="009766EF" w:rsidRPr="009766EF">
        <w:t>nález</w:t>
      </w:r>
      <w:r w:rsidR="009766EF">
        <w:t>u</w:t>
      </w:r>
      <w:r w:rsidR="009766EF" w:rsidRPr="009766EF">
        <w:t xml:space="preserve"> </w:t>
      </w:r>
      <w:proofErr w:type="spellStart"/>
      <w:r w:rsidR="009766EF" w:rsidRPr="009766EF">
        <w:t>sp</w:t>
      </w:r>
      <w:proofErr w:type="spellEnd"/>
      <w:r w:rsidR="009766EF" w:rsidRPr="009766EF">
        <w:t xml:space="preserve">. zn. I. ÚS 321/06 ze dne 18. 12. 2006 (N 229/43 </w:t>
      </w:r>
      <w:proofErr w:type="spellStart"/>
      <w:r w:rsidR="009766EF" w:rsidRPr="009766EF">
        <w:t>SbNU</w:t>
      </w:r>
      <w:proofErr w:type="spellEnd"/>
      <w:r w:rsidR="009766EF" w:rsidRPr="009766EF">
        <w:t xml:space="preserve"> 595)</w:t>
      </w:r>
      <w:r w:rsidR="009766EF" w:rsidRPr="009766EF">
        <w:rPr>
          <w:bCs/>
        </w:rPr>
        <w:t xml:space="preserve"> </w:t>
      </w:r>
      <w:r w:rsidR="009766EF">
        <w:rPr>
          <w:bCs/>
        </w:rPr>
        <w:t>nebo v</w:t>
      </w:r>
      <w:r w:rsidR="009766EF" w:rsidRPr="009766EF">
        <w:rPr>
          <w:bCs/>
        </w:rPr>
        <w:t xml:space="preserve"> nález</w:t>
      </w:r>
      <w:r w:rsidR="009766EF">
        <w:rPr>
          <w:bCs/>
        </w:rPr>
        <w:t>u</w:t>
      </w:r>
      <w:r w:rsidR="009766EF" w:rsidRPr="009766EF">
        <w:rPr>
          <w:bCs/>
        </w:rPr>
        <w:t xml:space="preserve"> </w:t>
      </w:r>
      <w:proofErr w:type="spellStart"/>
      <w:r w:rsidR="009766EF" w:rsidRPr="009766EF">
        <w:rPr>
          <w:bCs/>
        </w:rPr>
        <w:t>sp</w:t>
      </w:r>
      <w:proofErr w:type="spellEnd"/>
      <w:r w:rsidR="009766EF" w:rsidRPr="009766EF">
        <w:rPr>
          <w:bCs/>
        </w:rPr>
        <w:t xml:space="preserve">. zn. III. ÚS 256/01 ze dne 21. 3. 2002 (N 37/25 </w:t>
      </w:r>
      <w:proofErr w:type="spellStart"/>
      <w:r w:rsidR="009766EF" w:rsidRPr="009766EF">
        <w:rPr>
          <w:bCs/>
        </w:rPr>
        <w:t>SbNU</w:t>
      </w:r>
      <w:proofErr w:type="spellEnd"/>
      <w:r w:rsidR="009766EF" w:rsidRPr="009766EF">
        <w:rPr>
          <w:bCs/>
        </w:rPr>
        <w:t xml:space="preserve"> 287),</w:t>
      </w:r>
      <w:r w:rsidR="009766EF" w:rsidRPr="009766EF">
        <w:t xml:space="preserve"> „</w:t>
      </w:r>
      <w:r w:rsidR="009766EF" w:rsidRPr="009766EF">
        <w:rPr>
          <w:i/>
        </w:rPr>
        <w:t>zájem na objasnění trestných činů a spravedlivém potrestání jejich pachatelů, ale též zájem na ochraně jednotlivce před neodůvodněným stíháním a odsouzením, daný možností získání informací svědčících ve prospěch podezřelého, respektive obviněného, je legitimním a nezbytným cílem demokratické společnosti. Lze nalézt i racionální spojení mezi tímto cílem a prostředky, kterými ho má být dosaženo, a není zde dána možnost jejich nahrazení alternativními způsoby, které by byly méně zasahující do základních práv garantovaných čl. 10 odst. 2 a 3 Listiny. Dosahování účelu trestního řízení je v demokratickém ústavním řádu pravidelně spjato s řadou nezbytných zásahů do osobnostních práv jiných subjektů, než těch, proti nimž se řízení vede</w:t>
      </w:r>
      <w:r w:rsidR="009766EF" w:rsidRPr="009766EF">
        <w:t>.“</w:t>
      </w:r>
      <w:r w:rsidR="009766EF">
        <w:t xml:space="preserve"> </w:t>
      </w:r>
      <w:r>
        <w:t xml:space="preserve">Na druhé straně stěžovatel, jako poskytovatel zdravotních služeb, je povinen zachovávat mlčenlivost o </w:t>
      </w:r>
      <w:r w:rsidR="00155E81">
        <w:t xml:space="preserve">všech </w:t>
      </w:r>
      <w:r>
        <w:t>skutečnost</w:t>
      </w:r>
      <w:r w:rsidR="00DA465B">
        <w:t>ech</w:t>
      </w:r>
      <w:r>
        <w:t xml:space="preserve">, které se </w:t>
      </w:r>
      <w:r w:rsidR="00155E81">
        <w:t xml:space="preserve">v souvislosti s poskytováním zdravotních služeb </w:t>
      </w:r>
      <w:r>
        <w:t xml:space="preserve">dozvěděl, neboť tím ve své podstatě chrání soukromí dotčeného jednotlivce. </w:t>
      </w:r>
      <w:r w:rsidR="00F07FF4">
        <w:t>Takto</w:t>
      </w:r>
      <w:r>
        <w:t xml:space="preserve"> Ústavní soud</w:t>
      </w:r>
      <w:r w:rsidR="00F07FF4">
        <w:t xml:space="preserve"> zdůraznil</w:t>
      </w:r>
      <w:r>
        <w:t>,</w:t>
      </w:r>
      <w:r w:rsidR="00F07FF4">
        <w:t xml:space="preserve"> že</w:t>
      </w:r>
      <w:r>
        <w:t xml:space="preserve"> p</w:t>
      </w:r>
      <w:r w:rsidRPr="0064050C">
        <w:t>rávo na ochranu osobního soukromí je právem fyzické osoby rozhodnout podle vlastního uvážení zda, popř. v jakém rozsahu a jakým způsobem</w:t>
      </w:r>
      <w:r w:rsidR="00DA465B">
        <w:t>,</w:t>
      </w:r>
      <w:r w:rsidRPr="0064050C">
        <w:t xml:space="preserve"> mají být skutečnosti </w:t>
      </w:r>
      <w:r w:rsidR="0062189C">
        <w:t xml:space="preserve">spadající do </w:t>
      </w:r>
      <w:r w:rsidRPr="0064050C">
        <w:t>jejího osobního soukromí zpřístupněny jiným subjektům a zároveň se bránit (vzepřít) proti neoprávněným zásahům do této sféry ze strany jiných osob</w:t>
      </w:r>
      <w:r>
        <w:t xml:space="preserve"> [</w:t>
      </w:r>
      <w:r w:rsidRPr="00E03405">
        <w:t xml:space="preserve">nález </w:t>
      </w:r>
      <w:proofErr w:type="spellStart"/>
      <w:r w:rsidRPr="00E03405">
        <w:t>sp</w:t>
      </w:r>
      <w:proofErr w:type="spellEnd"/>
      <w:r w:rsidRPr="00E03405">
        <w:t xml:space="preserve">. zn. II. ÚS 517/99 ze dne 1. 3. 2000 (N 32/17 </w:t>
      </w:r>
      <w:proofErr w:type="spellStart"/>
      <w:r w:rsidRPr="00E03405">
        <w:t>SbNU</w:t>
      </w:r>
      <w:proofErr w:type="spellEnd"/>
      <w:r w:rsidRPr="00E03405">
        <w:t xml:space="preserve"> 229)</w:t>
      </w:r>
      <w:r>
        <w:t>]</w:t>
      </w:r>
      <w:r w:rsidRPr="0064050C">
        <w:t>.</w:t>
      </w:r>
      <w:r w:rsidRPr="009F3ABB">
        <w:t xml:space="preserve"> </w:t>
      </w:r>
    </w:p>
    <w:p w:rsidR="00F87491" w:rsidRDefault="00BA1CA9"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lastRenderedPageBreak/>
        <w:t xml:space="preserve">Ústavní soud zároveň </w:t>
      </w:r>
      <w:r w:rsidR="00DA465B">
        <w:t>judikoval</w:t>
      </w:r>
      <w:r>
        <w:t>, že z</w:t>
      </w:r>
      <w:r w:rsidRPr="00E03405">
        <w:t xml:space="preserve"> ústavního pořádku</w:t>
      </w:r>
      <w:r>
        <w:t xml:space="preserve"> </w:t>
      </w:r>
      <w:r w:rsidRPr="00E03405">
        <w:t>plyne, že k omezení osobní integrity a soukromí (tj. k prolomení ochrany</w:t>
      </w:r>
      <w:r>
        <w:t>, včetně dovoleného zásahu do povinnosti mlčenlivosti</w:t>
      </w:r>
      <w:r w:rsidRPr="00E03405">
        <w:t>) může ze strany veřejné moci dojít jen zcela výjimečně a jen je-li to nezbytné, a účelu sledovaného veřejným zájmem nelze dosáhnout jinak. Při nedodržení některé podmínky jde o zásah protiústavní</w:t>
      </w:r>
      <w:r>
        <w:t xml:space="preserve"> [viz např. </w:t>
      </w:r>
      <w:r w:rsidRPr="00E03405">
        <w:t xml:space="preserve">nález </w:t>
      </w:r>
      <w:proofErr w:type="spellStart"/>
      <w:r w:rsidRPr="00E03405">
        <w:t>sp</w:t>
      </w:r>
      <w:proofErr w:type="spellEnd"/>
      <w:r w:rsidRPr="00E03405">
        <w:t xml:space="preserve">. zn. I. ÚS 3038/07 ze dne 29. 2. 2008 (N 46/48 </w:t>
      </w:r>
      <w:proofErr w:type="spellStart"/>
      <w:r w:rsidRPr="00E03405">
        <w:t>SbNU</w:t>
      </w:r>
      <w:proofErr w:type="spellEnd"/>
      <w:r w:rsidRPr="00E03405">
        <w:t xml:space="preserve"> 549)</w:t>
      </w:r>
      <w:r>
        <w:t>]</w:t>
      </w:r>
      <w:r w:rsidRPr="00E03405">
        <w:t>.</w:t>
      </w:r>
      <w:r>
        <w:t xml:space="preserve"> </w:t>
      </w:r>
      <w:r w:rsidR="00F87491" w:rsidRPr="00F87491">
        <w:t xml:space="preserve">Jestliže tedy ústavní pořádek připouští průlom </w:t>
      </w:r>
      <w:r w:rsidR="0062189C">
        <w:t xml:space="preserve">do </w:t>
      </w:r>
      <w:r w:rsidR="00F87491" w:rsidRPr="00F87491">
        <w:t>této ochrany, děje se tak pouze a výlučně v zájmu ochrany demokratické společnosti</w:t>
      </w:r>
      <w:r w:rsidR="0062189C">
        <w:t xml:space="preserve"> (čl. 7 odst. 1 věta druhá Listiny ve spojení s čl. 8 odst. 2 Úmluvy o ochraně lidských práv a základních svobod</w:t>
      </w:r>
      <w:r w:rsidR="00F4664B">
        <w:t xml:space="preserve"> – dále jen „Úmluva“</w:t>
      </w:r>
      <w:r w:rsidR="0062189C">
        <w:t>)</w:t>
      </w:r>
      <w:r w:rsidR="00F87491" w:rsidRPr="00F87491">
        <w:t>.</w:t>
      </w:r>
      <w:r w:rsidR="0093622A">
        <w:t xml:space="preserve"> </w:t>
      </w:r>
      <w:r w:rsidR="00F07FF4" w:rsidRPr="00F87491">
        <w:t>Přípustný je</w:t>
      </w:r>
      <w:r w:rsidR="00F07FF4">
        <w:t xml:space="preserve"> tak</w:t>
      </w:r>
      <w:r w:rsidR="00F07FF4" w:rsidRPr="00F87491">
        <w:t xml:space="preserve"> pouze zásah do základního práva nebo svobody člověka ze strany </w:t>
      </w:r>
      <w:r w:rsidR="00DA465B">
        <w:t>veřejné</w:t>
      </w:r>
      <w:r w:rsidR="00F07FF4" w:rsidRPr="00F87491">
        <w:t xml:space="preserve"> moci, jestliže jde o zásah nezbytný v uvedeném smyslu</w:t>
      </w:r>
      <w:r w:rsidR="00F07FF4">
        <w:t xml:space="preserve"> </w:t>
      </w:r>
      <w:r w:rsidR="00F07FF4" w:rsidRPr="00F87491">
        <w:t xml:space="preserve">[nález </w:t>
      </w:r>
      <w:proofErr w:type="spellStart"/>
      <w:r w:rsidR="00F07FF4" w:rsidRPr="00F87491">
        <w:t>sp</w:t>
      </w:r>
      <w:proofErr w:type="spellEnd"/>
      <w:r w:rsidR="00F07FF4" w:rsidRPr="00F87491">
        <w:t xml:space="preserve">. zn. II. ÚS 789/06 ze dne 27. 9. 2007 (N 150/46 </w:t>
      </w:r>
      <w:proofErr w:type="spellStart"/>
      <w:r w:rsidR="00F07FF4" w:rsidRPr="00F87491">
        <w:t>SbNU</w:t>
      </w:r>
      <w:proofErr w:type="spellEnd"/>
      <w:r w:rsidR="00F07FF4" w:rsidRPr="00F87491">
        <w:t xml:space="preserve"> 489) nebo nález </w:t>
      </w:r>
      <w:proofErr w:type="spellStart"/>
      <w:r w:rsidR="00F07FF4" w:rsidRPr="00F87491">
        <w:t>sp</w:t>
      </w:r>
      <w:proofErr w:type="spellEnd"/>
      <w:r w:rsidR="00F07FF4" w:rsidRPr="00F87491">
        <w:t xml:space="preserve">. zn. II. ÚS 2806/08 ze dne 27. 1. 2010 (N 15/56 </w:t>
      </w:r>
      <w:proofErr w:type="spellStart"/>
      <w:r w:rsidR="00F07FF4" w:rsidRPr="00F87491">
        <w:t>SbNU</w:t>
      </w:r>
      <w:proofErr w:type="spellEnd"/>
      <w:r w:rsidR="00F07FF4" w:rsidRPr="00F87491">
        <w:t xml:space="preserve"> 143)]</w:t>
      </w:r>
      <w:r w:rsidR="00F07FF4">
        <w:t xml:space="preserve">. </w:t>
      </w:r>
      <w:r w:rsidR="0093622A">
        <w:t>V nyní posuzovaném případě</w:t>
      </w:r>
      <w:r w:rsidR="00F07FF4">
        <w:t>, jak již bylo řečeno,</w:t>
      </w:r>
      <w:r w:rsidR="0093622A">
        <w:t xml:space="preserve"> do této kategorie s</w:t>
      </w:r>
      <w:r w:rsidR="00F87491" w:rsidRPr="00F87491">
        <w:t>padá především nezbytnost daná obecným zájmem na ochraně společnosti před trestnými činy a na tom, aby takové činy byly zjištěny a potrestány</w:t>
      </w:r>
      <w:r w:rsidR="003A0DDF">
        <w:t xml:space="preserve">. </w:t>
      </w:r>
      <w:r w:rsidR="003A0DDF" w:rsidRPr="003A0DDF">
        <w:t xml:space="preserve">Stíhání trestných činů a spravedlivé potrestání jejich pachatelů je </w:t>
      </w:r>
      <w:r w:rsidR="003A0DDF">
        <w:t xml:space="preserve">totiž </w:t>
      </w:r>
      <w:r w:rsidR="003A0DDF" w:rsidRPr="003A0DDF">
        <w:t xml:space="preserve">ústavně </w:t>
      </w:r>
      <w:proofErr w:type="spellStart"/>
      <w:r w:rsidR="003A0DDF" w:rsidRPr="003A0DDF">
        <w:t>aprobovatelným</w:t>
      </w:r>
      <w:proofErr w:type="spellEnd"/>
      <w:r w:rsidR="003A0DDF" w:rsidRPr="003A0DDF">
        <w:t xml:space="preserve"> veřejným zájmem, jehož podstatou je přenesení odpovědnosti za postihování nejzávažnějších porušování základních práv a svobod fyzickými a právnickými osobami na stát. </w:t>
      </w:r>
    </w:p>
    <w:p w:rsidR="00E85CB9" w:rsidRDefault="00F87491"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t xml:space="preserve">Zároveň však Ústavní soud ve všech shora citovaných rozhodnutích </w:t>
      </w:r>
      <w:r w:rsidR="00DA465B">
        <w:t>zdůrazňova</w:t>
      </w:r>
      <w:r>
        <w:t>l, že k</w:t>
      </w:r>
      <w:r w:rsidRPr="00F87491">
        <w:t xml:space="preserve"> tomu, aby nebyly překročeny meze nezbytnosti</w:t>
      </w:r>
      <w:r w:rsidR="009766EF">
        <w:t xml:space="preserve"> (a zásah do soukromí byl tedy p</w:t>
      </w:r>
      <w:r w:rsidR="00DA465B">
        <w:t>řiměřený</w:t>
      </w:r>
      <w:r w:rsidR="009766EF">
        <w:t>)</w:t>
      </w:r>
      <w:r w:rsidRPr="00F87491">
        <w:t>, musí existovat systém adekvátních a dostatečných záruk, skládající se z odpovídajících právních předpisů a účinné kontroly jejich dodržování</w:t>
      </w:r>
      <w:r>
        <w:t>, přičemž t</w:t>
      </w:r>
      <w:r w:rsidRPr="00F87491">
        <w:t>yto záruky představuje především soudní kontrola.</w:t>
      </w:r>
      <w:r w:rsidR="003A0DDF">
        <w:t xml:space="preserve"> </w:t>
      </w:r>
      <w:r w:rsidR="003A0DDF" w:rsidRPr="003A0DDF">
        <w:t>Umožňuje-li</w:t>
      </w:r>
      <w:r w:rsidR="003A0DDF">
        <w:t xml:space="preserve"> totiž</w:t>
      </w:r>
      <w:r w:rsidR="003A0DDF" w:rsidRPr="003A0DDF">
        <w:t xml:space="preserve"> trestní právo realizaci veřejného zájmu na stíhání trestné činnosti pomocí robustních a osobní integritu jednotlivce omezujících nástrojů, pak jejich použití musí respektovat ústavněprávní limity, neboť jejich použití sebou nese vážné omezení základních práv a svobod jednotlivce.</w:t>
      </w:r>
      <w:r w:rsidR="003A0DDF">
        <w:t xml:space="preserve"> </w:t>
      </w:r>
      <w:r w:rsidR="003A0DDF" w:rsidRPr="003A0DDF">
        <w:t>Ústavní soud v této souvislosti připomínal též zásadu vyřčenou již starší literaturou</w:t>
      </w:r>
      <w:r w:rsidR="00E85CB9">
        <w:t>, že</w:t>
      </w:r>
      <w:r w:rsidR="003A0DDF" w:rsidRPr="003A0DDF">
        <w:t xml:space="preserve"> „</w:t>
      </w:r>
      <w:r w:rsidR="003A0DDF" w:rsidRPr="0093622A">
        <w:rPr>
          <w:i/>
        </w:rPr>
        <w:t>trestní právo určuje hranici mezi trestní mocí státu a svobodou jednotlivcovou v tom úmyslu, aby výkon trestní moci státní nestal se proti jednotlivci nástrojem libovůle dočasných držitelů státní moci.</w:t>
      </w:r>
      <w:r w:rsidR="003A0DDF" w:rsidRPr="003A0DDF">
        <w:t xml:space="preserve">“ (srov. </w:t>
      </w:r>
      <w:proofErr w:type="spellStart"/>
      <w:r w:rsidR="003A0DDF" w:rsidRPr="003A0DDF">
        <w:t>Kallab</w:t>
      </w:r>
      <w:proofErr w:type="spellEnd"/>
      <w:r w:rsidR="003A0DDF" w:rsidRPr="003A0DDF">
        <w:t>, J.: Zločin a trest, Úvahy o základech trestního práva, J. R. Vilímek, Praha 1916, str. 8).</w:t>
      </w:r>
    </w:p>
    <w:p w:rsidR="00C22B29" w:rsidRDefault="00E85CB9"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rsidRPr="00790378">
        <w:t>Z hlediska imperativu ústavněprávních limitů při použití nástrojů trestního procesu je</w:t>
      </w:r>
      <w:r>
        <w:t xml:space="preserve"> tedy</w:t>
      </w:r>
      <w:r w:rsidRPr="00790378">
        <w:t xml:space="preserve"> </w:t>
      </w:r>
      <w:r w:rsidR="00D4370D" w:rsidRPr="00790378">
        <w:t xml:space="preserve">zásah </w:t>
      </w:r>
      <w:r w:rsidR="00D4370D">
        <w:t>do soukromí jednotlivce</w:t>
      </w:r>
      <w:r w:rsidRPr="00790378">
        <w:t xml:space="preserve"> </w:t>
      </w:r>
      <w:r w:rsidR="00D4370D" w:rsidRPr="00790378">
        <w:t xml:space="preserve">přípustný </w:t>
      </w:r>
      <w:r w:rsidRPr="00790378">
        <w:t xml:space="preserve">tehdy, je-li </w:t>
      </w:r>
      <w:r>
        <w:t xml:space="preserve">též </w:t>
      </w:r>
      <w:r w:rsidRPr="00790378">
        <w:t>akceptovatelný z pohledu zákonné existence a dodržení účinných a konkrétních záruk proti libovůli. Esenciální předpoklady spravedlivého procesu totiž vyžadují, aby byl jednotlivec vybaven dostatečnými garancemi proti možnému zneužití pravomoci ze strany veřejné mo</w:t>
      </w:r>
      <w:r>
        <w:t xml:space="preserve">ci. </w:t>
      </w:r>
      <w:r w:rsidRPr="00CE6C00">
        <w:t>Tyto záruky představuje především soudní kontrola těch nejintenzivnějších zásahů do základních práv a svobod osob, neboť i v trestním řízení je povinností soudů poskytovat ochranu základním právům a svobodám jednotlivců (čl. 4 Ústavy). Ostatně i čl. 13 Úmluvy explicitně vyžaduje, aby osoba, jejíž základní práva byla dle jejího názoru porušena, měla k dispozici účinný pr</w:t>
      </w:r>
      <w:r>
        <w:t>ostředek nápravy před národním „orgánem“</w:t>
      </w:r>
      <w:r w:rsidRPr="00CE6C00">
        <w:t xml:space="preserve">, který je třeba interpretovat v návaznosti na čl. 4 Ústavy </w:t>
      </w:r>
      <w:r>
        <w:t xml:space="preserve">[viz podrobněji </w:t>
      </w:r>
      <w:r w:rsidRPr="00CE6C00">
        <w:t xml:space="preserve">nález </w:t>
      </w:r>
      <w:proofErr w:type="spellStart"/>
      <w:r w:rsidRPr="00CE6C00">
        <w:t>sp</w:t>
      </w:r>
      <w:proofErr w:type="spellEnd"/>
      <w:r w:rsidRPr="00CE6C00">
        <w:t xml:space="preserve">. zn. </w:t>
      </w:r>
      <w:proofErr w:type="spellStart"/>
      <w:r w:rsidRPr="00CE6C00">
        <w:t>Pl</w:t>
      </w:r>
      <w:proofErr w:type="spellEnd"/>
      <w:r w:rsidRPr="00CE6C00">
        <w:t xml:space="preserve">. ÚS 3/09 ze dne 8. 6. 2010 (N 121/57 </w:t>
      </w:r>
      <w:proofErr w:type="spellStart"/>
      <w:r w:rsidRPr="00CE6C00">
        <w:t>SbNU</w:t>
      </w:r>
      <w:proofErr w:type="spellEnd"/>
      <w:r w:rsidRPr="00CE6C00">
        <w:t xml:space="preserve"> 495; 219/2010 Sb.)</w:t>
      </w:r>
      <w:r>
        <w:t>]</w:t>
      </w:r>
      <w:r w:rsidRPr="00CE6C00">
        <w:t xml:space="preserve">. </w:t>
      </w:r>
      <w:r w:rsidR="00D4370D">
        <w:t xml:space="preserve"> </w:t>
      </w:r>
    </w:p>
    <w:p w:rsidR="00CC63A3" w:rsidRDefault="00CC63A3"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rsidRPr="00CE6C00">
        <w:t>V případě užití trestněprávních nástrojů omezujících základní práva a svobody jednotlivce se požadavek soudní ochrany základních práv musí projevit ve vydání soudního příkazu a v jeho dostatečném odůvodnění. To musí odpovídat jak požadavkům zákona, tak především ústavním principům, z nichž zákonné ustanovení vychází, resp. které zpětně limitují jeho interpretaci, neboť aplikace takového ustanovení představuje zvlášť závažný zásah do základních práv a svobod každého jednotlivce</w:t>
      </w:r>
      <w:r>
        <w:t>. Uvedené Ústavní soud již ve výše citovaných rozhodnutích vztáhl zejména k</w:t>
      </w:r>
      <w:r w:rsidRPr="00CE6C00">
        <w:t xml:space="preserve"> domovní</w:t>
      </w:r>
      <w:r>
        <w:t>m prohlídkám</w:t>
      </w:r>
      <w:r w:rsidRPr="00CE6C00">
        <w:t>, prohlídk</w:t>
      </w:r>
      <w:r>
        <w:t>ám</w:t>
      </w:r>
      <w:r w:rsidRPr="00CE6C00">
        <w:t xml:space="preserve"> jiných prostor a pozemků, osobní</w:t>
      </w:r>
      <w:r>
        <w:t>m prohlídkám</w:t>
      </w:r>
      <w:r w:rsidRPr="00CE6C00">
        <w:t>, zadržen</w:t>
      </w:r>
      <w:r>
        <w:t>í a otevření zásilek či odposlechům</w:t>
      </w:r>
      <w:r w:rsidRPr="00CE6C00">
        <w:t xml:space="preserve"> t</w:t>
      </w:r>
      <w:r>
        <w:t xml:space="preserve">elekomunikačního provozu. </w:t>
      </w:r>
      <w:r w:rsidR="00521514">
        <w:lastRenderedPageBreak/>
        <w:t>S</w:t>
      </w:r>
      <w:r w:rsidR="0093622A">
        <w:t>tejně tak</w:t>
      </w:r>
      <w:r>
        <w:t xml:space="preserve"> </w:t>
      </w:r>
      <w:r w:rsidR="0093622A">
        <w:t>se uvedené vztahuje</w:t>
      </w:r>
      <w:r>
        <w:t xml:space="preserve"> též k poskytování informací o zdravotním stavu, resp. důvěrnosti zdravotních údajů, neboť jejich sdělováním </w:t>
      </w:r>
      <w:r w:rsidR="0093622A">
        <w:t>bezesporu též</w:t>
      </w:r>
      <w:r>
        <w:t xml:space="preserve"> dochází </w:t>
      </w:r>
      <w:r w:rsidR="00C22B29">
        <w:t>k</w:t>
      </w:r>
      <w:r w:rsidR="0093622A">
        <w:t xml:space="preserve"> citlivému </w:t>
      </w:r>
      <w:r w:rsidR="00C22B29">
        <w:t xml:space="preserve">zásahu do soukromí dotčených osob. </w:t>
      </w:r>
      <w:r w:rsidR="00D4370D">
        <w:t>Z</w:t>
      </w:r>
      <w:r w:rsidR="00D4370D" w:rsidRPr="00C22B29">
        <w:t>veřejnění takové</w:t>
      </w:r>
      <w:r w:rsidR="00F07FF4">
        <w:t>to</w:t>
      </w:r>
      <w:r w:rsidR="00D4370D" w:rsidRPr="00C22B29">
        <w:t xml:space="preserve"> </w:t>
      </w:r>
      <w:r w:rsidR="00D4370D">
        <w:t>vysoce intimní a citlivé</w:t>
      </w:r>
      <w:r w:rsidR="00D4370D" w:rsidRPr="00C22B29">
        <w:t xml:space="preserve"> informace </w:t>
      </w:r>
      <w:r w:rsidR="00D4370D">
        <w:t xml:space="preserve">totiž </w:t>
      </w:r>
      <w:r w:rsidR="00D4370D" w:rsidRPr="00C22B29">
        <w:t xml:space="preserve">může dramaticky ovlivnit soukromý a rodinný život, </w:t>
      </w:r>
      <w:r w:rsidR="00D4370D">
        <w:t>sociální situaci,</w:t>
      </w:r>
      <w:r w:rsidR="00D4370D" w:rsidRPr="00C22B29">
        <w:t xml:space="preserve"> postavení v zaměstnání, či vystavit </w:t>
      </w:r>
      <w:r w:rsidR="00D4370D">
        <w:t>dotčenou osobu</w:t>
      </w:r>
      <w:r w:rsidR="00D4370D" w:rsidRPr="00C22B29">
        <w:t xml:space="preserve"> ostrakizaci</w:t>
      </w:r>
      <w:r w:rsidR="00D4370D">
        <w:t xml:space="preserve">. </w:t>
      </w:r>
      <w:r w:rsidR="00C22B29">
        <w:t xml:space="preserve">Jak ostatně konstatoval též </w:t>
      </w:r>
      <w:r w:rsidR="0093622A">
        <w:t>E</w:t>
      </w:r>
      <w:r w:rsidR="00C22B29">
        <w:t xml:space="preserve">vropský soud pro lidská práva, </w:t>
      </w:r>
      <w:r w:rsidR="00C22B29" w:rsidRPr="00C22B29">
        <w:t>ochrana osobních dat, o to více lékařských dat, má pro požívání práva na respektování soukromého a ro</w:t>
      </w:r>
      <w:r w:rsidR="0093622A">
        <w:t>dinného života zásadní význam</w:t>
      </w:r>
      <w:r w:rsidR="00C22B29">
        <w:t xml:space="preserve"> (</w:t>
      </w:r>
      <w:r w:rsidR="0093622A">
        <w:t xml:space="preserve">viz </w:t>
      </w:r>
      <w:r w:rsidR="00C22B29" w:rsidRPr="00C22B29">
        <w:t>rozsudek</w:t>
      </w:r>
      <w:r w:rsidR="00C22B29">
        <w:t xml:space="preserve"> ze dne </w:t>
      </w:r>
      <w:r w:rsidR="00C22B29" w:rsidRPr="00C22B29">
        <w:t>25. 2. 1997</w:t>
      </w:r>
      <w:r w:rsidR="00C22B29">
        <w:t xml:space="preserve"> ve věci Z. </w:t>
      </w:r>
      <w:proofErr w:type="gramStart"/>
      <w:r w:rsidR="00C22B29">
        <w:t>proti</w:t>
      </w:r>
      <w:proofErr w:type="gramEnd"/>
      <w:r w:rsidR="00C22B29">
        <w:t xml:space="preserve"> Finsku</w:t>
      </w:r>
      <w:r w:rsidR="00C22B29" w:rsidRPr="00C22B29">
        <w:t>,</w:t>
      </w:r>
      <w:r w:rsidR="00C22B29">
        <w:t xml:space="preserve"> stížnost</w:t>
      </w:r>
      <w:r w:rsidR="00C22B29" w:rsidRPr="00C22B29">
        <w:t xml:space="preserve"> č. 22009/93</w:t>
      </w:r>
      <w:r w:rsidR="00C22B29">
        <w:t>), přičemž s</w:t>
      </w:r>
      <w:r w:rsidR="00C22B29" w:rsidRPr="00C22B29">
        <w:t>amostatným zásahem do práva na soukromí je i poskytnutí informací mezi státními úřady navzájem pro jiný účel, než jsou uchovávány</w:t>
      </w:r>
      <w:r w:rsidR="00C22B29">
        <w:t xml:space="preserve"> (</w:t>
      </w:r>
      <w:r w:rsidR="00C22B29" w:rsidRPr="00C22B29">
        <w:t>rozsudek</w:t>
      </w:r>
      <w:r w:rsidR="00C22B29">
        <w:t xml:space="preserve"> ze dne</w:t>
      </w:r>
      <w:r w:rsidR="00C22B29" w:rsidRPr="00C22B29">
        <w:t xml:space="preserve"> 27. 8. 1997</w:t>
      </w:r>
      <w:r w:rsidR="00C22B29">
        <w:t xml:space="preserve"> ve věci M. S. proti Švédsku</w:t>
      </w:r>
      <w:r w:rsidR="00C22B29" w:rsidRPr="00C22B29">
        <w:t xml:space="preserve">, </w:t>
      </w:r>
      <w:r w:rsidR="00C22B29">
        <w:t xml:space="preserve">stížnost </w:t>
      </w:r>
      <w:r w:rsidR="00C22B29" w:rsidRPr="00C22B29">
        <w:t>č. 20837/92</w:t>
      </w:r>
      <w:r w:rsidR="00C22B29">
        <w:t>)</w:t>
      </w:r>
      <w:r w:rsidR="0093622A">
        <w:t xml:space="preserve">. </w:t>
      </w:r>
      <w:r w:rsidR="00D4370D">
        <w:t xml:space="preserve">Uvedené lze přitom vztáhnout též na osobu právě zemřelou, neboť i ta požívá ochrany svého soukromí, jelikož též informace o smrti a její příčině mohou velmi citlivě zasáhnout do dřívější pověsti této osoby. </w:t>
      </w:r>
    </w:p>
    <w:p w:rsidR="00EE4640" w:rsidRPr="001950C3" w:rsidRDefault="009E16D9"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rsidRPr="00EE4640">
        <w:rPr>
          <w:szCs w:val="24"/>
        </w:rPr>
        <w:t xml:space="preserve">Pokud Ústavní soud posoudil nyní projednávaný případ s ohledem na shora </w:t>
      </w:r>
      <w:r w:rsidR="00D4762C" w:rsidRPr="00EE4640">
        <w:rPr>
          <w:szCs w:val="24"/>
        </w:rPr>
        <w:t>řečené</w:t>
      </w:r>
      <w:r w:rsidRPr="00EE4640">
        <w:rPr>
          <w:szCs w:val="24"/>
        </w:rPr>
        <w:t xml:space="preserve">, dospěl k závěru, že </w:t>
      </w:r>
      <w:r w:rsidR="00D4762C" w:rsidRPr="00EE4640">
        <w:rPr>
          <w:szCs w:val="24"/>
        </w:rPr>
        <w:t>Policie</w:t>
      </w:r>
      <w:r w:rsidRPr="00EE4640">
        <w:rPr>
          <w:szCs w:val="24"/>
        </w:rPr>
        <w:t xml:space="preserve"> (orgán činný v trestní řízení) mohl</w:t>
      </w:r>
      <w:r w:rsidR="00EE4640" w:rsidRPr="00EE4640">
        <w:rPr>
          <w:szCs w:val="24"/>
        </w:rPr>
        <w:t>a</w:t>
      </w:r>
      <w:r w:rsidRPr="00EE4640">
        <w:rPr>
          <w:szCs w:val="24"/>
        </w:rPr>
        <w:t xml:space="preserve"> informace o zdravotních údajích požadovat pouze po předchozím souhlasu soud</w:t>
      </w:r>
      <w:r w:rsidR="00F063AA" w:rsidRPr="00EE4640">
        <w:rPr>
          <w:szCs w:val="24"/>
        </w:rPr>
        <w:t>u</w:t>
      </w:r>
      <w:r w:rsidR="005374DB" w:rsidRPr="00EE4640">
        <w:rPr>
          <w:szCs w:val="24"/>
        </w:rPr>
        <w:t xml:space="preserve">, neboť při střetu tohoto práva na ochranu soukromí s veřejným zájmem na adekvátní vyšetřování trestné činnosti, musí </w:t>
      </w:r>
      <w:r w:rsidR="00EE4640" w:rsidRPr="00EE4640">
        <w:rPr>
          <w:szCs w:val="24"/>
        </w:rPr>
        <w:t xml:space="preserve">být </w:t>
      </w:r>
      <w:r w:rsidR="005374DB" w:rsidRPr="00EE4640">
        <w:rPr>
          <w:szCs w:val="24"/>
        </w:rPr>
        <w:t>tento veřejn</w:t>
      </w:r>
      <w:r w:rsidR="00D4762C" w:rsidRPr="00EE4640">
        <w:rPr>
          <w:szCs w:val="24"/>
        </w:rPr>
        <w:t>ý</w:t>
      </w:r>
      <w:r w:rsidR="005374DB" w:rsidRPr="00EE4640">
        <w:rPr>
          <w:szCs w:val="24"/>
        </w:rPr>
        <w:t xml:space="preserve"> zájem vážen v každém konkrétním případě v rámci soudního rozhodování o zproštění mlčenlivosti</w:t>
      </w:r>
      <w:r w:rsidRPr="00EE4640">
        <w:rPr>
          <w:szCs w:val="24"/>
        </w:rPr>
        <w:t>. Ke stejnému závěru navíc Ústavní soud dospěl již ve svých dřívějších rozhodnutích</w:t>
      </w:r>
      <w:r w:rsidR="009A2FF7" w:rsidRPr="00EE4640">
        <w:rPr>
          <w:szCs w:val="24"/>
        </w:rPr>
        <w:t xml:space="preserve"> (viz citovaný nález </w:t>
      </w:r>
      <w:proofErr w:type="spellStart"/>
      <w:r w:rsidR="009A2FF7" w:rsidRPr="009766EF">
        <w:t>sp</w:t>
      </w:r>
      <w:proofErr w:type="spellEnd"/>
      <w:r w:rsidR="009A2FF7" w:rsidRPr="009766EF">
        <w:t>. zn. I. ÚS 321/06</w:t>
      </w:r>
      <w:r w:rsidR="009A2FF7">
        <w:t>)</w:t>
      </w:r>
      <w:r w:rsidRPr="00EE4640">
        <w:rPr>
          <w:szCs w:val="24"/>
        </w:rPr>
        <w:t xml:space="preserve">, kdy </w:t>
      </w:r>
      <w:r w:rsidR="00E911EA" w:rsidRPr="00EE4640">
        <w:rPr>
          <w:szCs w:val="24"/>
        </w:rPr>
        <w:t>uvedl</w:t>
      </w:r>
      <w:r w:rsidRPr="00EE4640">
        <w:rPr>
          <w:szCs w:val="24"/>
        </w:rPr>
        <w:t xml:space="preserve">, že </w:t>
      </w:r>
      <w:r w:rsidR="00022CC7" w:rsidRPr="00EE4640">
        <w:rPr>
          <w:szCs w:val="24"/>
        </w:rPr>
        <w:t>je přesvědčen, že úprava v zákoně o péči o zdraví lidu [zákon č. 20/1966 Sb., v tehdy platném znění, viz konkrétně ustanovení § 55 odst. 2 písm. d)] není úpravou, podle které by bylo možno zprošťovat mlčenlivosti pro účely trestního řízení (a tedy překážkou vylučující aplikaci § 8 odst. 5 trestního řádu). Odkázal přitom na komentář k trestnímu řádu (Šámal, P. a kol.: Trestní řád</w:t>
      </w:r>
      <w:r w:rsidR="00177E45" w:rsidRPr="00EE4640">
        <w:rPr>
          <w:szCs w:val="24"/>
        </w:rPr>
        <w:t>.</w:t>
      </w:r>
      <w:r w:rsidR="00022CC7" w:rsidRPr="00EE4640">
        <w:rPr>
          <w:szCs w:val="24"/>
        </w:rPr>
        <w:t xml:space="preserve"> </w:t>
      </w:r>
      <w:r w:rsidR="00177E45" w:rsidRPr="00EE4640">
        <w:rPr>
          <w:szCs w:val="24"/>
        </w:rPr>
        <w:t>K</w:t>
      </w:r>
      <w:r w:rsidR="00022CC7" w:rsidRPr="00EE4640">
        <w:rPr>
          <w:szCs w:val="24"/>
        </w:rPr>
        <w:t>omentář</w:t>
      </w:r>
      <w:r w:rsidR="00177E45" w:rsidRPr="00EE4640">
        <w:rPr>
          <w:szCs w:val="24"/>
        </w:rPr>
        <w:t>. I. díl</w:t>
      </w:r>
      <w:r w:rsidR="00022CC7" w:rsidRPr="00EE4640">
        <w:rPr>
          <w:szCs w:val="24"/>
        </w:rPr>
        <w:t>; 5. vydání, Praha, C.</w:t>
      </w:r>
      <w:r w:rsidR="00E911EA" w:rsidRPr="00EE4640">
        <w:rPr>
          <w:szCs w:val="24"/>
        </w:rPr>
        <w:t xml:space="preserve"> </w:t>
      </w:r>
      <w:r w:rsidR="00022CC7" w:rsidRPr="00EE4640">
        <w:rPr>
          <w:szCs w:val="24"/>
        </w:rPr>
        <w:t>H.</w:t>
      </w:r>
      <w:r w:rsidR="00E911EA" w:rsidRPr="00EE4640">
        <w:rPr>
          <w:szCs w:val="24"/>
        </w:rPr>
        <w:t xml:space="preserve"> </w:t>
      </w:r>
      <w:proofErr w:type="spellStart"/>
      <w:r w:rsidR="00022CC7" w:rsidRPr="00EE4640">
        <w:rPr>
          <w:szCs w:val="24"/>
        </w:rPr>
        <w:t>Beck</w:t>
      </w:r>
      <w:proofErr w:type="spellEnd"/>
      <w:r w:rsidR="00022CC7" w:rsidRPr="00EE4640">
        <w:rPr>
          <w:szCs w:val="24"/>
        </w:rPr>
        <w:t>, 2005, str. 90), kter</w:t>
      </w:r>
      <w:r w:rsidR="00F07FF4" w:rsidRPr="00EE4640">
        <w:rPr>
          <w:szCs w:val="24"/>
        </w:rPr>
        <w:t>ý</w:t>
      </w:r>
      <w:r w:rsidR="00022CC7" w:rsidRPr="00EE4640">
        <w:rPr>
          <w:szCs w:val="24"/>
        </w:rPr>
        <w:t xml:space="preserve"> zastává názor, že pokud ustanovení zvláštního předpisu sice obsahuje určitou možnost zproštění mlčenlivosti, nikoliv však specificky ve vztahu k trestnímu řízení (totiž nestanoví podmínky, za nichž lze pro účely trestního řízení sdělovat předmětné skutečnosti), je postup podle § 8 odst. 5 trestního řádu možný. Zákon o péči o zdraví lidu takovou právní úpravu</w:t>
      </w:r>
      <w:r w:rsidR="009A2FF7" w:rsidRPr="00EE4640">
        <w:rPr>
          <w:szCs w:val="24"/>
        </w:rPr>
        <w:t xml:space="preserve"> neobsah</w:t>
      </w:r>
      <w:r w:rsidR="00F07FF4" w:rsidRPr="00EE4640">
        <w:rPr>
          <w:szCs w:val="24"/>
        </w:rPr>
        <w:t>oval</w:t>
      </w:r>
      <w:r w:rsidR="00022CC7" w:rsidRPr="00EE4640">
        <w:rPr>
          <w:szCs w:val="24"/>
        </w:rPr>
        <w:t xml:space="preserve">, </w:t>
      </w:r>
      <w:r w:rsidR="009A2FF7" w:rsidRPr="00EE4640">
        <w:rPr>
          <w:szCs w:val="24"/>
        </w:rPr>
        <w:t>a proto</w:t>
      </w:r>
      <w:r w:rsidR="00022CC7" w:rsidRPr="00EE4640">
        <w:rPr>
          <w:szCs w:val="24"/>
        </w:rPr>
        <w:t xml:space="preserve"> ve vztahu k mlčenlivosti založené</w:t>
      </w:r>
      <w:r w:rsidR="005374DB" w:rsidRPr="00EE4640">
        <w:rPr>
          <w:szCs w:val="24"/>
        </w:rPr>
        <w:t xml:space="preserve"> ustanovením </w:t>
      </w:r>
      <w:r w:rsidR="00022CC7" w:rsidRPr="00EE4640">
        <w:rPr>
          <w:szCs w:val="24"/>
        </w:rPr>
        <w:t xml:space="preserve">§ 55 odst. 2 písm. d) zákona o péči o zdraví lidu </w:t>
      </w:r>
      <w:r w:rsidR="00F07FF4" w:rsidRPr="00EE4640">
        <w:rPr>
          <w:szCs w:val="24"/>
        </w:rPr>
        <w:t>bylo</w:t>
      </w:r>
      <w:r w:rsidR="00022CC7" w:rsidRPr="00EE4640">
        <w:rPr>
          <w:szCs w:val="24"/>
        </w:rPr>
        <w:t xml:space="preserve"> nutné informace pro trestní řízení vyžadovat postupem podle § 8 odst. 5 trestního řádu.</w:t>
      </w:r>
      <w:r w:rsidR="00E45D3E" w:rsidRPr="00EE4640">
        <w:rPr>
          <w:szCs w:val="24"/>
        </w:rPr>
        <w:t xml:space="preserve"> </w:t>
      </w:r>
    </w:p>
    <w:p w:rsidR="009845E3" w:rsidRPr="00B34024" w:rsidRDefault="001950C3" w:rsidP="001950C3">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rsidRPr="001950C3">
        <w:rPr>
          <w:szCs w:val="24"/>
        </w:rPr>
        <w:t>Přestože</w:t>
      </w:r>
      <w:r w:rsidR="00022CC7" w:rsidRPr="001950C3">
        <w:rPr>
          <w:szCs w:val="24"/>
        </w:rPr>
        <w:t xml:space="preserve"> v nyní posuzovaném případě již nebylo postupováno dle ustanovení § 55 odst. 2 písm. d) zákona o péči o zdraví lidu, nýbrž dle </w:t>
      </w:r>
      <w:r w:rsidR="00414FE1" w:rsidRPr="001950C3">
        <w:rPr>
          <w:szCs w:val="24"/>
        </w:rPr>
        <w:t>platného</w:t>
      </w:r>
      <w:r w:rsidR="00022CC7" w:rsidRPr="001950C3">
        <w:rPr>
          <w:szCs w:val="24"/>
        </w:rPr>
        <w:t xml:space="preserve"> zákona o zdravotních službách, </w:t>
      </w:r>
      <w:r w:rsidR="00F063AA" w:rsidRPr="001950C3">
        <w:rPr>
          <w:szCs w:val="24"/>
        </w:rPr>
        <w:t xml:space="preserve">platí </w:t>
      </w:r>
      <w:r w:rsidR="00E911EA" w:rsidRPr="001950C3">
        <w:rPr>
          <w:szCs w:val="24"/>
        </w:rPr>
        <w:t xml:space="preserve">podle přesvědčení Ústavního soudu </w:t>
      </w:r>
      <w:r w:rsidR="00F063AA" w:rsidRPr="001950C3">
        <w:rPr>
          <w:szCs w:val="24"/>
        </w:rPr>
        <w:t xml:space="preserve">shora </w:t>
      </w:r>
      <w:r w:rsidR="00414FE1" w:rsidRPr="001950C3">
        <w:rPr>
          <w:szCs w:val="24"/>
        </w:rPr>
        <w:t>uvedené</w:t>
      </w:r>
      <w:r w:rsidR="00F063AA" w:rsidRPr="001950C3">
        <w:rPr>
          <w:szCs w:val="24"/>
        </w:rPr>
        <w:t xml:space="preserve">, </w:t>
      </w:r>
      <w:r w:rsidR="009A2FF7" w:rsidRPr="001950C3">
        <w:rPr>
          <w:szCs w:val="24"/>
        </w:rPr>
        <w:t>neboť ani</w:t>
      </w:r>
      <w:r w:rsidR="00F063AA" w:rsidRPr="001950C3">
        <w:rPr>
          <w:szCs w:val="24"/>
        </w:rPr>
        <w:t xml:space="preserve"> </w:t>
      </w:r>
      <w:r w:rsidR="00F063AA">
        <w:t xml:space="preserve">ustanovení § 51 odst. 2 písm. d) </w:t>
      </w:r>
      <w:r w:rsidR="005374DB" w:rsidRPr="001950C3">
        <w:rPr>
          <w:szCs w:val="24"/>
        </w:rPr>
        <w:t>zákona o zdravotních službách</w:t>
      </w:r>
      <w:r w:rsidR="005374DB">
        <w:t xml:space="preserve"> </w:t>
      </w:r>
      <w:r w:rsidR="00F063AA">
        <w:t xml:space="preserve">obecně nezprošťuje poskytovatele zdravotní péče </w:t>
      </w:r>
      <w:r w:rsidR="00F063AA" w:rsidRPr="001950C3">
        <w:rPr>
          <w:szCs w:val="24"/>
        </w:rPr>
        <w:t>mlčenlivosti pro účely trestního řízení</w:t>
      </w:r>
      <w:r w:rsidRPr="001950C3">
        <w:rPr>
          <w:szCs w:val="24"/>
        </w:rPr>
        <w:t xml:space="preserve">. </w:t>
      </w:r>
      <w:r w:rsidRPr="00B34024">
        <w:rPr>
          <w:szCs w:val="24"/>
        </w:rPr>
        <w:t>Podle tohoto ustanovení totiž platí, že „</w:t>
      </w:r>
      <w:r w:rsidRPr="00B34024">
        <w:rPr>
          <w:i/>
          <w:szCs w:val="24"/>
        </w:rPr>
        <w:t>za porušení povinné mlčenlivosti se nepovažuje sdělování údajů nebo jiných skutečností pro potřeby trestního řízení způsobem stanoveným právními předpisy upravujícími trestní řízení; za porušení povinné mlčenlivosti se rovněž nepovažuje sdělování údajů nebo jiných skutečností při plnění zákonem uložené povinnosti překazit nebo oznámit spáchání trestného činu</w:t>
      </w:r>
      <w:r w:rsidRPr="00B34024">
        <w:rPr>
          <w:szCs w:val="24"/>
        </w:rPr>
        <w:t xml:space="preserve">.“ Z citovaného ustanovení tedy výslovně plyne, že v případě trestního řízení sice může dojít k prolomení povinné mlčenlivosti, to však jen způsobem, který stanoví trestní procesní předpisy. Toto zákonné ustanovení je proto třeba vyložit tak, že obsahuje odkaz </w:t>
      </w:r>
      <w:proofErr w:type="gramStart"/>
      <w:r w:rsidRPr="00B34024">
        <w:rPr>
          <w:szCs w:val="24"/>
        </w:rPr>
        <w:t xml:space="preserve">na </w:t>
      </w:r>
      <w:r w:rsidR="00414FE1" w:rsidRPr="00B34024">
        <w:rPr>
          <w:szCs w:val="24"/>
        </w:rPr>
        <w:t xml:space="preserve"> </w:t>
      </w:r>
      <w:r w:rsidR="009845E3" w:rsidRPr="00B34024">
        <w:rPr>
          <w:szCs w:val="24"/>
        </w:rPr>
        <w:t>trestní</w:t>
      </w:r>
      <w:proofErr w:type="gramEnd"/>
      <w:r w:rsidR="009845E3" w:rsidRPr="00B34024">
        <w:rPr>
          <w:szCs w:val="24"/>
        </w:rPr>
        <w:t xml:space="preserve"> řád a že je věcí úpravy obsažené  právě v trestním řádu, aby </w:t>
      </w:r>
      <w:r w:rsidR="00B34024">
        <w:rPr>
          <w:szCs w:val="24"/>
        </w:rPr>
        <w:t>stanovila</w:t>
      </w:r>
      <w:r w:rsidR="009845E3" w:rsidRPr="00B34024">
        <w:rPr>
          <w:szCs w:val="24"/>
        </w:rPr>
        <w:t xml:space="preserve"> zákonné podmínky pro prolomení zmíněné mlčenlivosti</w:t>
      </w:r>
      <w:r w:rsidR="00B34024">
        <w:rPr>
          <w:szCs w:val="24"/>
        </w:rPr>
        <w:t>, pokud jde o způsob (postup), jímž k němu může dojít</w:t>
      </w:r>
      <w:r w:rsidR="009845E3" w:rsidRPr="00B34024">
        <w:rPr>
          <w:szCs w:val="24"/>
        </w:rPr>
        <w:t>. Ustanovením, které tak činí, je přitom právě ustanovení § 8 odst. 5</w:t>
      </w:r>
      <w:r w:rsidR="00676083" w:rsidRPr="00B34024">
        <w:rPr>
          <w:szCs w:val="24"/>
        </w:rPr>
        <w:t>, jež v těchto případech výslovně vyžaduje předchozí souhlas soudce</w:t>
      </w:r>
      <w:r w:rsidR="009845E3" w:rsidRPr="00B34024">
        <w:rPr>
          <w:szCs w:val="24"/>
        </w:rPr>
        <w:t xml:space="preserve">. </w:t>
      </w:r>
      <w:r w:rsidR="00F063AA" w:rsidRPr="00B34024">
        <w:rPr>
          <w:szCs w:val="24"/>
        </w:rPr>
        <w:t xml:space="preserve"> </w:t>
      </w:r>
    </w:p>
    <w:p w:rsidR="00630934" w:rsidRDefault="009845E3" w:rsidP="001950C3">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rsidRPr="00B34024">
        <w:rPr>
          <w:szCs w:val="24"/>
        </w:rPr>
        <w:t xml:space="preserve"> Pro toto řešení ostatně svědčí i skutečnost, že</w:t>
      </w:r>
      <w:r w:rsidRPr="00DD4000">
        <w:rPr>
          <w:szCs w:val="24"/>
        </w:rPr>
        <w:t xml:space="preserve"> </w:t>
      </w:r>
      <w:r w:rsidR="00F063AA" w:rsidRPr="00DD4000">
        <w:rPr>
          <w:szCs w:val="24"/>
        </w:rPr>
        <w:t xml:space="preserve">se </w:t>
      </w:r>
      <w:r w:rsidR="00A04B6C" w:rsidRPr="00DD4000">
        <w:rPr>
          <w:szCs w:val="24"/>
        </w:rPr>
        <w:t>v případě informací zjištěných při poskytování zdravotních služeb</w:t>
      </w:r>
      <w:r w:rsidR="00A04B6C">
        <w:rPr>
          <w:szCs w:val="24"/>
        </w:rPr>
        <w:t xml:space="preserve"> </w:t>
      </w:r>
      <w:r w:rsidR="00F063AA" w:rsidRPr="001950C3">
        <w:rPr>
          <w:szCs w:val="24"/>
        </w:rPr>
        <w:t xml:space="preserve">jedná o natolik invazivní zásah do soukromí jednotlivce, že je </w:t>
      </w:r>
      <w:r w:rsidR="00F063AA" w:rsidRPr="001950C3">
        <w:rPr>
          <w:szCs w:val="24"/>
        </w:rPr>
        <w:lastRenderedPageBreak/>
        <w:t>nezbytné</w:t>
      </w:r>
      <w:r w:rsidR="00876715" w:rsidRPr="001950C3">
        <w:rPr>
          <w:szCs w:val="24"/>
        </w:rPr>
        <w:t>,</w:t>
      </w:r>
      <w:r w:rsidR="00F063AA" w:rsidRPr="001950C3">
        <w:rPr>
          <w:szCs w:val="24"/>
        </w:rPr>
        <w:t xml:space="preserve"> aby byl posouzen nezávislým a nestranným orgán</w:t>
      </w:r>
      <w:r w:rsidR="00630934" w:rsidRPr="001950C3">
        <w:rPr>
          <w:szCs w:val="24"/>
        </w:rPr>
        <w:t>em, kterým může být pouze soud.</w:t>
      </w:r>
      <w:r w:rsidR="00630934">
        <w:t xml:space="preserve"> Při podávání žádosti o souhlas soudce ke sdělení vyžadovaných informací a při jeho vydávání je třeba v každém konkrétním případě </w:t>
      </w:r>
      <w:r w:rsidR="003F1C3D">
        <w:t xml:space="preserve">rovněž </w:t>
      </w:r>
      <w:r w:rsidR="00630934">
        <w:t xml:space="preserve">pečlivě zvažovat, v jakém rozsahu má být tento souhlas požadován a následně udělován. Je proto namístě např. hodnotit, o jaký trestný čin se jedná, co je obsahem požadované dokumentace, v jakém postavení se nachází osoba, jíž </w:t>
      </w:r>
      <w:r w:rsidR="003F1C3D">
        <w:t xml:space="preserve">se </w:t>
      </w:r>
      <w:r w:rsidR="00630934">
        <w:t xml:space="preserve">zdravotní údaje </w:t>
      </w:r>
      <w:r w:rsidR="003F1C3D">
        <w:t>týkají</w:t>
      </w:r>
      <w:r w:rsidR="00630934">
        <w:t xml:space="preserve"> (pachatel trestného činu či poškozený) atp. </w:t>
      </w:r>
    </w:p>
    <w:p w:rsidR="001A5B38" w:rsidRDefault="00876715"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pPr>
      <w:r w:rsidRPr="00876715">
        <w:rPr>
          <w:szCs w:val="24"/>
        </w:rPr>
        <w:t xml:space="preserve">Uvedenému svědčí i záměr zákonodárce, vyložitelný z důvodové zprávy k zákonu o zdravotních službách, </w:t>
      </w:r>
      <w:r w:rsidR="00E911EA">
        <w:rPr>
          <w:szCs w:val="24"/>
        </w:rPr>
        <w:t>z</w:t>
      </w:r>
      <w:r w:rsidRPr="00876715">
        <w:rPr>
          <w:szCs w:val="24"/>
        </w:rPr>
        <w:t xml:space="preserve"> něhož nevyplývá snaha o rozchod s dosavadní legislativou a judikaturou, což by v opačném případě zajisté učinil, neboť by se jednalo o masivní průlom do ochrany práva na soukromí</w:t>
      </w:r>
      <w:r w:rsidR="009A2FF7">
        <w:rPr>
          <w:szCs w:val="24"/>
        </w:rPr>
        <w:t xml:space="preserve"> jednotlivců</w:t>
      </w:r>
      <w:r w:rsidRPr="00876715">
        <w:rPr>
          <w:szCs w:val="24"/>
        </w:rPr>
        <w:t xml:space="preserve">. Podobně též Ústavní soud při přezkumu souladu </w:t>
      </w:r>
      <w:r w:rsidR="0074136F">
        <w:rPr>
          <w:szCs w:val="24"/>
        </w:rPr>
        <w:t>některých ustanovení</w:t>
      </w:r>
      <w:r w:rsidRPr="00876715">
        <w:rPr>
          <w:szCs w:val="24"/>
        </w:rPr>
        <w:t xml:space="preserve"> zákona o zdravotních službách s ústavním pořádkem vyřkl (nutno však podotknout, že bez hlubší argumentace), že ustanovení § 51 odst. 2 písm. d) zákona o zdravotních službách je ustanovením s jednoznačným zněním, z něhož vyplývá, že ke sdělení těchto skutečností musí dojít v souladu s § 8 odst. 5 trestního řádu se souhlasem soudce</w:t>
      </w:r>
      <w:r w:rsidR="0013440C">
        <w:rPr>
          <w:szCs w:val="24"/>
        </w:rPr>
        <w:t xml:space="preserve"> [</w:t>
      </w:r>
      <w:r w:rsidR="0013440C" w:rsidRPr="0013440C">
        <w:rPr>
          <w:szCs w:val="24"/>
        </w:rPr>
        <w:t xml:space="preserve">nález </w:t>
      </w:r>
      <w:proofErr w:type="spellStart"/>
      <w:r w:rsidR="0013440C" w:rsidRPr="0013440C">
        <w:rPr>
          <w:szCs w:val="24"/>
        </w:rPr>
        <w:t>sp</w:t>
      </w:r>
      <w:proofErr w:type="spellEnd"/>
      <w:r w:rsidR="0013440C" w:rsidRPr="0013440C">
        <w:rPr>
          <w:szCs w:val="24"/>
        </w:rPr>
        <w:t xml:space="preserve">. zn. </w:t>
      </w:r>
      <w:proofErr w:type="spellStart"/>
      <w:r w:rsidR="0013440C" w:rsidRPr="0013440C">
        <w:rPr>
          <w:szCs w:val="24"/>
        </w:rPr>
        <w:t>Pl</w:t>
      </w:r>
      <w:proofErr w:type="spellEnd"/>
      <w:r w:rsidR="0013440C" w:rsidRPr="0013440C">
        <w:rPr>
          <w:szCs w:val="24"/>
        </w:rPr>
        <w:t xml:space="preserve">. ÚS 1/12 ze dne 27. 11. 2012 (N 195/67 </w:t>
      </w:r>
      <w:proofErr w:type="spellStart"/>
      <w:r w:rsidR="0013440C" w:rsidRPr="0013440C">
        <w:rPr>
          <w:szCs w:val="24"/>
        </w:rPr>
        <w:t>SbNU</w:t>
      </w:r>
      <w:proofErr w:type="spellEnd"/>
      <w:r w:rsidR="0013440C" w:rsidRPr="0013440C">
        <w:rPr>
          <w:szCs w:val="24"/>
        </w:rPr>
        <w:t xml:space="preserve"> 333; 437/2012 Sb.</w:t>
      </w:r>
      <w:r w:rsidR="0074136F">
        <w:rPr>
          <w:szCs w:val="24"/>
        </w:rPr>
        <w:t>, bod 340</w:t>
      </w:r>
      <w:r w:rsidR="0013440C" w:rsidRPr="0013440C">
        <w:rPr>
          <w:szCs w:val="24"/>
        </w:rPr>
        <w:t>)</w:t>
      </w:r>
      <w:r w:rsidR="0013440C">
        <w:rPr>
          <w:szCs w:val="24"/>
        </w:rPr>
        <w:t>]</w:t>
      </w:r>
      <w:r w:rsidRPr="00876715">
        <w:rPr>
          <w:szCs w:val="24"/>
        </w:rPr>
        <w:t>.</w:t>
      </w:r>
      <w:r w:rsidR="001A5B38">
        <w:rPr>
          <w:szCs w:val="24"/>
        </w:rPr>
        <w:t xml:space="preserve"> Stejnému závěru navíc přisvědčuje též odborná literatura, dle níž </w:t>
      </w:r>
      <w:r w:rsidR="001A5B38">
        <w:t xml:space="preserve">je také ústavně konformní ten výklad, dle kterého je možno vyžadovat skutečnosti pro potřeby trestního řízení bez souhlasu pacienta či jiné oprávněné osoby pouze na základě udělení předchozího souhlasu soudce podle ustanovení § 8 odst. 5 trestního řádu (viz Chromý, J. – Růžička. M. </w:t>
      </w:r>
      <w:r w:rsidR="001A5B38" w:rsidRPr="003F1C3D">
        <w:rPr>
          <w:i/>
        </w:rPr>
        <w:t>K některým výkladovým problémům zákona o zdravotních službách z pohledu působnosti státního zastupitelství v trestním řízení</w:t>
      </w:r>
      <w:r w:rsidR="001A5B38">
        <w:t xml:space="preserve">. Státní zastupitelství. 2013, č. 6, s. 42 a </w:t>
      </w:r>
      <w:proofErr w:type="spellStart"/>
      <w:r w:rsidR="001A5B38">
        <w:t>násl</w:t>
      </w:r>
      <w:proofErr w:type="spellEnd"/>
      <w:r w:rsidR="001A5B38">
        <w:t>.)</w:t>
      </w:r>
      <w:r w:rsidR="00D330A0">
        <w:t>.</w:t>
      </w:r>
    </w:p>
    <w:p w:rsidR="002B2137" w:rsidRDefault="00D330A0"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Pr>
          <w:szCs w:val="24"/>
        </w:rPr>
        <w:t xml:space="preserve">Ústavní soud tedy uzavírá, že </w:t>
      </w:r>
      <w:r w:rsidR="00823D39">
        <w:rPr>
          <w:szCs w:val="24"/>
        </w:rPr>
        <w:t>Policie</w:t>
      </w:r>
      <w:r>
        <w:rPr>
          <w:szCs w:val="24"/>
        </w:rPr>
        <w:t xml:space="preserve"> byl</w:t>
      </w:r>
      <w:r w:rsidR="00823D39">
        <w:rPr>
          <w:szCs w:val="24"/>
        </w:rPr>
        <w:t>a</w:t>
      </w:r>
      <w:r>
        <w:rPr>
          <w:szCs w:val="24"/>
        </w:rPr>
        <w:t xml:space="preserve"> </w:t>
      </w:r>
      <w:r w:rsidR="003F1C3D">
        <w:rPr>
          <w:szCs w:val="24"/>
        </w:rPr>
        <w:t xml:space="preserve">v nyní projednávaném případě </w:t>
      </w:r>
      <w:r>
        <w:rPr>
          <w:szCs w:val="24"/>
        </w:rPr>
        <w:t>povin</w:t>
      </w:r>
      <w:r w:rsidR="00823D39">
        <w:rPr>
          <w:szCs w:val="24"/>
        </w:rPr>
        <w:t>na</w:t>
      </w:r>
      <w:r>
        <w:rPr>
          <w:szCs w:val="24"/>
        </w:rPr>
        <w:t xml:space="preserve"> před výzvou ke sdělení důvěrných zdravotních informací </w:t>
      </w:r>
      <w:r w:rsidR="008C07FD">
        <w:rPr>
          <w:szCs w:val="24"/>
        </w:rPr>
        <w:t xml:space="preserve">požádat </w:t>
      </w:r>
      <w:r>
        <w:rPr>
          <w:szCs w:val="24"/>
        </w:rPr>
        <w:t xml:space="preserve">soud o souhlas </w:t>
      </w:r>
      <w:r w:rsidR="00927179">
        <w:rPr>
          <w:szCs w:val="24"/>
        </w:rPr>
        <w:t>k vyžádání</w:t>
      </w:r>
      <w:r>
        <w:rPr>
          <w:szCs w:val="24"/>
        </w:rPr>
        <w:t xml:space="preserve"> těchto informací</w:t>
      </w:r>
      <w:r w:rsidR="003F1C3D">
        <w:rPr>
          <w:szCs w:val="24"/>
        </w:rPr>
        <w:t>,</w:t>
      </w:r>
      <w:r w:rsidR="00927179">
        <w:rPr>
          <w:szCs w:val="24"/>
        </w:rPr>
        <w:t xml:space="preserve"> </w:t>
      </w:r>
      <w:r>
        <w:rPr>
          <w:szCs w:val="24"/>
        </w:rPr>
        <w:t xml:space="preserve">a soud měl povinnost rozhodnout o tom, zda </w:t>
      </w:r>
      <w:r w:rsidR="00E911EA">
        <w:rPr>
          <w:szCs w:val="24"/>
        </w:rPr>
        <w:t>tento</w:t>
      </w:r>
      <w:r>
        <w:rPr>
          <w:szCs w:val="24"/>
        </w:rPr>
        <w:t xml:space="preserve"> souhlas udělí či n</w:t>
      </w:r>
      <w:r w:rsidR="00E911EA">
        <w:rPr>
          <w:szCs w:val="24"/>
        </w:rPr>
        <w:t>ikoliv</w:t>
      </w:r>
      <w:r>
        <w:rPr>
          <w:szCs w:val="24"/>
        </w:rPr>
        <w:t>. Ústavní soud si je vědom, že účastník řízení</w:t>
      </w:r>
      <w:r w:rsidR="008C07FD">
        <w:rPr>
          <w:szCs w:val="24"/>
        </w:rPr>
        <w:t xml:space="preserve"> (</w:t>
      </w:r>
      <w:r w:rsidR="00E911EA">
        <w:rPr>
          <w:szCs w:val="24"/>
        </w:rPr>
        <w:t>Policie</w:t>
      </w:r>
      <w:r w:rsidR="008C07FD">
        <w:rPr>
          <w:szCs w:val="24"/>
        </w:rPr>
        <w:t>)</w:t>
      </w:r>
      <w:r>
        <w:rPr>
          <w:szCs w:val="24"/>
        </w:rPr>
        <w:t xml:space="preserve"> takto v nyní projednávané věci </w:t>
      </w:r>
      <w:r w:rsidR="00630934">
        <w:rPr>
          <w:szCs w:val="24"/>
        </w:rPr>
        <w:t xml:space="preserve">nejdříve </w:t>
      </w:r>
      <w:r>
        <w:rPr>
          <w:szCs w:val="24"/>
        </w:rPr>
        <w:t xml:space="preserve">postupoval, přičemž pochybil okresní soud, pokud </w:t>
      </w:r>
      <w:r w:rsidR="00575E2B">
        <w:rPr>
          <w:szCs w:val="24"/>
        </w:rPr>
        <w:t xml:space="preserve">jeho návrh zamítl, </w:t>
      </w:r>
      <w:r w:rsidR="009A2FF7">
        <w:rPr>
          <w:szCs w:val="24"/>
        </w:rPr>
        <w:t>když</w:t>
      </w:r>
      <w:r w:rsidR="00575E2B">
        <w:rPr>
          <w:szCs w:val="24"/>
        </w:rPr>
        <w:t xml:space="preserve"> dospěl k závěru, že uvedeného souhlasu soudu není třeba. Pokud přitom stěžovatel dále trval na souhlasu soudu ke sdělení požadovaných informací, uznává Ústavní soud, že </w:t>
      </w:r>
      <w:r w:rsidR="00091BD0">
        <w:rPr>
          <w:szCs w:val="24"/>
        </w:rPr>
        <w:t>Policii</w:t>
      </w:r>
      <w:r w:rsidR="00575E2B">
        <w:rPr>
          <w:szCs w:val="24"/>
        </w:rPr>
        <w:t xml:space="preserve"> nezbylo, nežli přistoupit k sankčním opatřením reagující</w:t>
      </w:r>
      <w:r w:rsidR="00B34024">
        <w:rPr>
          <w:szCs w:val="24"/>
        </w:rPr>
        <w:t>m</w:t>
      </w:r>
      <w:r w:rsidR="00575E2B">
        <w:rPr>
          <w:szCs w:val="24"/>
        </w:rPr>
        <w:t xml:space="preserve"> na situaci, kdy dožádaná osoba nevyhoví výzvě orgánu činného v trestním řízení</w:t>
      </w:r>
      <w:r w:rsidR="00F07FF4">
        <w:rPr>
          <w:szCs w:val="24"/>
        </w:rPr>
        <w:t xml:space="preserve"> k součinnosti</w:t>
      </w:r>
      <w:r w:rsidR="00575E2B">
        <w:rPr>
          <w:szCs w:val="24"/>
        </w:rPr>
        <w:t xml:space="preserve">. Zároveň však tímto postupem (později aprobovaným též okresním soudem) došlo k zásahu do </w:t>
      </w:r>
      <w:r w:rsidR="003955B6">
        <w:rPr>
          <w:szCs w:val="24"/>
        </w:rPr>
        <w:t xml:space="preserve">vlastnického práva stěžovatele, neboť mu byla uložena finanční sankce, která vycházela ze stavu, který neměl oporu v ústavně konformním výkladu předmětných právních norem. </w:t>
      </w:r>
    </w:p>
    <w:p w:rsidR="002B2137" w:rsidRPr="00740A57" w:rsidRDefault="002B2137"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t>Jak přitom Ústavní soud již dříve judikoval, g</w:t>
      </w:r>
      <w:r w:rsidRPr="007E13AD">
        <w:t xml:space="preserve">arance vlastnického práva podle čl. 11 Listiny se </w:t>
      </w:r>
      <w:r>
        <w:t>v prvé řadě dotýká</w:t>
      </w:r>
      <w:r w:rsidRPr="007E13AD">
        <w:t xml:space="preserve"> vztahu mezi jednotlivcem a státem, </w:t>
      </w:r>
      <w:r>
        <w:t>když zajišťuje</w:t>
      </w:r>
      <w:r w:rsidRPr="007E13AD">
        <w:t xml:space="preserve"> povinnost veřejné moci jednat tak, aby do vlastnického práva jednotlivce sama nezasahovala</w:t>
      </w:r>
      <w:r>
        <w:t xml:space="preserve">. Zároveň integrální součástí ochrany majetkových práv je též ochrana legitimního očekávání, které vychází především z právní úpravy a ustálené judikatury. Takto právě stěžovatel s ohledem na předchozí judikaturu i mnohá stanoviska orgánů veřejné moci legitimně očekával, že nemůže být zasaženo do jeho majetkových práv, neboť se přidržel jimi poskytnuté interpretace povinností, jež mu zákon stanoví a zároveň odůvodněně dbal na ochranu soukromí jednotlivce. Pokud mu přesto byla uložena ze strany </w:t>
      </w:r>
      <w:r w:rsidR="00B213BC">
        <w:t>Policie</w:t>
      </w:r>
      <w:r>
        <w:t xml:space="preserve"> pořádková pokuta, jež neměla oporu v ústavněprávně konformním výkladu dotčených právních norem, došlo k porušení jeho základního práva vlastnit majetek zakotveného v čl. 11 </w:t>
      </w:r>
      <w:r w:rsidR="00B213BC">
        <w:t xml:space="preserve">odst. 1 </w:t>
      </w:r>
      <w:r>
        <w:t xml:space="preserve">Listiny.  </w:t>
      </w:r>
    </w:p>
    <w:p w:rsidR="00740A57" w:rsidRPr="00B34024" w:rsidRDefault="00740A57" w:rsidP="00EA164A">
      <w:pPr>
        <w:numPr>
          <w:ilvl w:val="0"/>
          <w:numId w:val="13"/>
        </w:numPr>
        <w:tabs>
          <w:tab w:val="num" w:pos="0"/>
          <w:tab w:val="left" w:pos="360"/>
          <w:tab w:val="left" w:pos="425"/>
        </w:tabs>
        <w:overflowPunct w:val="0"/>
        <w:autoSpaceDE w:val="0"/>
        <w:autoSpaceDN w:val="0"/>
        <w:adjustRightInd w:val="0"/>
        <w:spacing w:before="120"/>
        <w:ind w:left="0" w:firstLine="0"/>
        <w:jc w:val="both"/>
        <w:textAlignment w:val="baseline"/>
        <w:rPr>
          <w:szCs w:val="24"/>
        </w:rPr>
      </w:pPr>
      <w:r w:rsidRPr="00B34024">
        <w:rPr>
          <w:szCs w:val="24"/>
        </w:rPr>
        <w:t xml:space="preserve">Pro úplnost Ústavní soud považuje za vhodné dodat (stejně jako v opakovaně citovaném nálezu </w:t>
      </w:r>
      <w:proofErr w:type="spellStart"/>
      <w:r w:rsidRPr="00B34024">
        <w:rPr>
          <w:szCs w:val="24"/>
        </w:rPr>
        <w:t>sp</w:t>
      </w:r>
      <w:proofErr w:type="spellEnd"/>
      <w:r w:rsidRPr="00B34024">
        <w:rPr>
          <w:szCs w:val="24"/>
        </w:rPr>
        <w:t xml:space="preserve">. zn. </w:t>
      </w:r>
      <w:r w:rsidR="00B95610" w:rsidRPr="00B34024">
        <w:rPr>
          <w:szCs w:val="24"/>
        </w:rPr>
        <w:t xml:space="preserve">I. ÚS </w:t>
      </w:r>
      <w:r w:rsidR="00B95610" w:rsidRPr="00B34024">
        <w:t>321/06)</w:t>
      </w:r>
      <w:r w:rsidRPr="00B34024">
        <w:rPr>
          <w:szCs w:val="24"/>
        </w:rPr>
        <w:t xml:space="preserve">, že o obdobnou situaci </w:t>
      </w:r>
      <w:r w:rsidR="00B95610" w:rsidRPr="00B34024">
        <w:rPr>
          <w:szCs w:val="24"/>
        </w:rPr>
        <w:t xml:space="preserve">z hlediska povinnosti mlčenlivosti </w:t>
      </w:r>
      <w:r w:rsidRPr="00B34024">
        <w:rPr>
          <w:szCs w:val="24"/>
        </w:rPr>
        <w:t xml:space="preserve">nejde v případech, kdy </w:t>
      </w:r>
      <w:r w:rsidR="00B95610" w:rsidRPr="00B34024">
        <w:rPr>
          <w:szCs w:val="24"/>
        </w:rPr>
        <w:t xml:space="preserve">tato </w:t>
      </w:r>
      <w:r w:rsidRPr="00B34024">
        <w:rPr>
          <w:szCs w:val="24"/>
        </w:rPr>
        <w:t xml:space="preserve">mlčenlivost vůbec nevzniká, jako např. při pitvě podle </w:t>
      </w:r>
      <w:r w:rsidR="005712DA" w:rsidRPr="00B34024">
        <w:rPr>
          <w:szCs w:val="24"/>
        </w:rPr>
        <w:t xml:space="preserve">ustanovení </w:t>
      </w:r>
      <w:r w:rsidRPr="00B34024">
        <w:rPr>
          <w:szCs w:val="24"/>
        </w:rPr>
        <w:t>§ 115 trestního řádu</w:t>
      </w:r>
      <w:r w:rsidR="00B95610" w:rsidRPr="00B34024">
        <w:rPr>
          <w:szCs w:val="24"/>
        </w:rPr>
        <w:t xml:space="preserve"> nebo</w:t>
      </w:r>
      <w:r w:rsidRPr="00B34024">
        <w:rPr>
          <w:szCs w:val="24"/>
        </w:rPr>
        <w:t xml:space="preserve"> při prohlídce těla podle </w:t>
      </w:r>
      <w:r w:rsidR="005712DA" w:rsidRPr="00B34024">
        <w:rPr>
          <w:szCs w:val="24"/>
        </w:rPr>
        <w:t xml:space="preserve">§ </w:t>
      </w:r>
      <w:r w:rsidRPr="00B34024">
        <w:rPr>
          <w:szCs w:val="24"/>
        </w:rPr>
        <w:t xml:space="preserve">114 trestního řádu, neboť lékař provádějící takovéto úkony se s informacemi o zdravotním stavu neseznamuje v souvislosti s výkonem </w:t>
      </w:r>
      <w:r w:rsidRPr="00B34024">
        <w:rPr>
          <w:szCs w:val="24"/>
        </w:rPr>
        <w:lastRenderedPageBreak/>
        <w:t>svého povolání</w:t>
      </w:r>
      <w:r w:rsidR="00B95610" w:rsidRPr="00B34024">
        <w:rPr>
          <w:szCs w:val="24"/>
        </w:rPr>
        <w:t>,</w:t>
      </w:r>
      <w:r w:rsidRPr="00B34024">
        <w:rPr>
          <w:szCs w:val="24"/>
        </w:rPr>
        <w:t xml:space="preserve"> nýbrž v rámci úkonů trestního řízení (srovnej Šámal, Pavel a kol.: Trestní řád komentář; 5. vydání, Praha, C.</w:t>
      </w:r>
      <w:r w:rsidR="00B95610" w:rsidRPr="00B34024">
        <w:rPr>
          <w:szCs w:val="24"/>
        </w:rPr>
        <w:t xml:space="preserve"> </w:t>
      </w:r>
      <w:r w:rsidRPr="00B34024">
        <w:rPr>
          <w:szCs w:val="24"/>
        </w:rPr>
        <w:t>H.</w:t>
      </w:r>
      <w:r w:rsidR="00B95610" w:rsidRPr="00B34024">
        <w:rPr>
          <w:szCs w:val="24"/>
        </w:rPr>
        <w:t xml:space="preserve"> </w:t>
      </w:r>
      <w:proofErr w:type="spellStart"/>
      <w:r w:rsidRPr="00B34024">
        <w:rPr>
          <w:szCs w:val="24"/>
        </w:rPr>
        <w:t>Beck</w:t>
      </w:r>
      <w:proofErr w:type="spellEnd"/>
      <w:r w:rsidRPr="00B34024">
        <w:rPr>
          <w:szCs w:val="24"/>
        </w:rPr>
        <w:t>, 2005, str. 926 I. dílu). Zdravotnický pracovník, který např. provedl prohlídku těla</w:t>
      </w:r>
      <w:r w:rsidR="00B95610" w:rsidRPr="00B34024">
        <w:rPr>
          <w:szCs w:val="24"/>
        </w:rPr>
        <w:t xml:space="preserve"> podle ustanovení § 114 trestního řádu</w:t>
      </w:r>
      <w:r w:rsidRPr="00B34024">
        <w:rPr>
          <w:szCs w:val="24"/>
        </w:rPr>
        <w:t xml:space="preserve">, </w:t>
      </w:r>
      <w:r w:rsidR="00B95610" w:rsidRPr="00B34024">
        <w:rPr>
          <w:szCs w:val="24"/>
        </w:rPr>
        <w:t xml:space="preserve">proto </w:t>
      </w:r>
      <w:r w:rsidRPr="00B34024">
        <w:rPr>
          <w:szCs w:val="24"/>
        </w:rPr>
        <w:t xml:space="preserve">nepotřebuje </w:t>
      </w:r>
      <w:r w:rsidR="00B95610" w:rsidRPr="00B34024">
        <w:rPr>
          <w:szCs w:val="24"/>
        </w:rPr>
        <w:t xml:space="preserve">předchozí </w:t>
      </w:r>
      <w:r w:rsidRPr="00B34024">
        <w:rPr>
          <w:szCs w:val="24"/>
        </w:rPr>
        <w:t>souhlas soud</w:t>
      </w:r>
      <w:r w:rsidR="00B95610" w:rsidRPr="00B34024">
        <w:rPr>
          <w:szCs w:val="24"/>
        </w:rPr>
        <w:t>ce</w:t>
      </w:r>
      <w:r w:rsidRPr="00B34024">
        <w:rPr>
          <w:szCs w:val="24"/>
        </w:rPr>
        <w:t xml:space="preserve"> podle § 8 odst. 5 trestního řádu k tomu, aby orgánu činnému v trestním řízení sdělil výsledky této prohlídky.</w:t>
      </w:r>
    </w:p>
    <w:p w:rsidR="0051398E" w:rsidRDefault="0051398E" w:rsidP="00EA164A">
      <w:pPr>
        <w:spacing w:before="120"/>
        <w:jc w:val="center"/>
        <w:rPr>
          <w:b/>
        </w:rPr>
      </w:pPr>
    </w:p>
    <w:p w:rsidR="003955B6" w:rsidRPr="00C44977" w:rsidRDefault="003955B6" w:rsidP="00EA164A">
      <w:pPr>
        <w:spacing w:before="120"/>
        <w:jc w:val="center"/>
        <w:rPr>
          <w:b/>
        </w:rPr>
      </w:pPr>
      <w:r w:rsidRPr="00C44977">
        <w:rPr>
          <w:b/>
        </w:rPr>
        <w:t>VI. Závěr</w:t>
      </w:r>
    </w:p>
    <w:p w:rsidR="006C3FE8" w:rsidRDefault="003955B6" w:rsidP="00EA164A">
      <w:pPr>
        <w:numPr>
          <w:ilvl w:val="0"/>
          <w:numId w:val="13"/>
        </w:numPr>
        <w:tabs>
          <w:tab w:val="num" w:pos="0"/>
          <w:tab w:val="left" w:pos="425"/>
        </w:tabs>
        <w:overflowPunct w:val="0"/>
        <w:autoSpaceDE w:val="0"/>
        <w:autoSpaceDN w:val="0"/>
        <w:adjustRightInd w:val="0"/>
        <w:spacing w:before="120"/>
        <w:ind w:left="0" w:firstLine="0"/>
        <w:jc w:val="both"/>
        <w:textAlignment w:val="baseline"/>
      </w:pPr>
      <w:r>
        <w:t xml:space="preserve">Ústavní soud uzavírá, že </w:t>
      </w:r>
      <w:r w:rsidR="00B213BC">
        <w:t>Policie</w:t>
      </w:r>
      <w:r w:rsidR="002B2137">
        <w:t xml:space="preserve"> i </w:t>
      </w:r>
      <w:r>
        <w:t>okresní soud svým</w:t>
      </w:r>
      <w:r w:rsidR="002B2137">
        <w:t>i</w:t>
      </w:r>
      <w:r>
        <w:t xml:space="preserve"> rozhodnutím</w:t>
      </w:r>
      <w:r w:rsidR="002B2137">
        <w:t>i</w:t>
      </w:r>
      <w:r>
        <w:t xml:space="preserve"> porušil</w:t>
      </w:r>
      <w:r w:rsidR="002B2137">
        <w:t>y</w:t>
      </w:r>
      <w:r>
        <w:t xml:space="preserve"> stěžovatelovo právo vlastnit majetek </w:t>
      </w:r>
      <w:r w:rsidR="00B213BC">
        <w:t xml:space="preserve">zaručené </w:t>
      </w:r>
      <w:r>
        <w:t>čl. 11</w:t>
      </w:r>
      <w:r w:rsidR="005712DA">
        <w:t xml:space="preserve"> odst. 1</w:t>
      </w:r>
      <w:r>
        <w:t xml:space="preserve"> Listiny, neboť </w:t>
      </w:r>
      <w:r w:rsidR="00B213BC">
        <w:t>tato rozhodnutí</w:t>
      </w:r>
      <w:r>
        <w:t xml:space="preserve"> jednak nerespektoval</w:t>
      </w:r>
      <w:r w:rsidR="00B213BC">
        <w:t>a</w:t>
      </w:r>
      <w:r>
        <w:t xml:space="preserve"> princip ochrany soukromí jednotlivce a zároveň ve svém důsledku vedl</w:t>
      </w:r>
      <w:r w:rsidR="00B213BC">
        <w:t>a</w:t>
      </w:r>
      <w:r>
        <w:t xml:space="preserve"> k zásahu do</w:t>
      </w:r>
      <w:r w:rsidR="00B62CA5">
        <w:t xml:space="preserve"> práva na ochranu</w:t>
      </w:r>
      <w:r>
        <w:t xml:space="preserve"> vlastnictví stěžovatele. </w:t>
      </w:r>
    </w:p>
    <w:p w:rsidR="003955B6" w:rsidRPr="006C3FE8" w:rsidRDefault="003955B6" w:rsidP="00EA164A">
      <w:pPr>
        <w:numPr>
          <w:ilvl w:val="0"/>
          <w:numId w:val="13"/>
        </w:numPr>
        <w:tabs>
          <w:tab w:val="num" w:pos="0"/>
          <w:tab w:val="left" w:pos="425"/>
        </w:tabs>
        <w:overflowPunct w:val="0"/>
        <w:autoSpaceDE w:val="0"/>
        <w:autoSpaceDN w:val="0"/>
        <w:adjustRightInd w:val="0"/>
        <w:spacing w:before="120"/>
        <w:ind w:left="0" w:firstLine="0"/>
        <w:jc w:val="both"/>
        <w:textAlignment w:val="baseline"/>
      </w:pPr>
      <w:r w:rsidRPr="006C3FE8">
        <w:rPr>
          <w:szCs w:val="24"/>
        </w:rPr>
        <w:t>Proto Ústavní soud podle ustanovení § 82 odst. 2 písm. a) zákona o Ústavním soudu ústavní stížnosti vyhověl a podle ustanovení § 82 odst. 3 písm. a) zákona o Ústavním soudu napaden</w:t>
      </w:r>
      <w:r w:rsidR="002B2137" w:rsidRPr="006C3FE8">
        <w:rPr>
          <w:szCs w:val="24"/>
        </w:rPr>
        <w:t>á</w:t>
      </w:r>
      <w:r w:rsidRPr="006C3FE8">
        <w:rPr>
          <w:szCs w:val="24"/>
        </w:rPr>
        <w:t xml:space="preserve"> rozhodnutí zrušil. </w:t>
      </w:r>
    </w:p>
    <w:p w:rsidR="003955B6" w:rsidRPr="00C21B25" w:rsidRDefault="003955B6" w:rsidP="00EA164A">
      <w:pPr>
        <w:pStyle w:val="NormlnslovanOdstavec"/>
        <w:numPr>
          <w:ilvl w:val="0"/>
          <w:numId w:val="13"/>
        </w:numPr>
        <w:tabs>
          <w:tab w:val="left" w:pos="360"/>
        </w:tabs>
        <w:spacing w:before="120"/>
        <w:ind w:left="0" w:firstLine="0"/>
        <w:rPr>
          <w:szCs w:val="24"/>
        </w:rPr>
      </w:pPr>
      <w:r w:rsidRPr="00965C3E">
        <w:rPr>
          <w:szCs w:val="24"/>
        </w:rPr>
        <w:t xml:space="preserve">Ústavní soud rozhodl bez nařízení ústního jednání, neboť od něj nebylo </w:t>
      </w:r>
      <w:r>
        <w:rPr>
          <w:szCs w:val="24"/>
        </w:rPr>
        <w:t>možno</w:t>
      </w:r>
      <w:r w:rsidRPr="00965C3E">
        <w:rPr>
          <w:szCs w:val="24"/>
        </w:rPr>
        <w:t xml:space="preserve"> očekávat další objasnění věci (§ 44 zákona o Ústavním soudu).</w:t>
      </w:r>
    </w:p>
    <w:p w:rsidR="00BD6111" w:rsidRDefault="00BD6111" w:rsidP="00EA164A">
      <w:pPr>
        <w:pStyle w:val="Zkladntext3"/>
        <w:tabs>
          <w:tab w:val="left" w:pos="1701"/>
        </w:tabs>
        <w:spacing w:before="120" w:after="0"/>
        <w:ind w:left="1701" w:hanging="1701"/>
        <w:rPr>
          <w:b/>
          <w:i/>
          <w:sz w:val="24"/>
          <w:szCs w:val="24"/>
        </w:rPr>
      </w:pPr>
    </w:p>
    <w:p w:rsidR="003955B6" w:rsidRPr="00C21B25" w:rsidRDefault="003955B6" w:rsidP="00EA164A">
      <w:pPr>
        <w:pStyle w:val="Zkladntext3"/>
        <w:tabs>
          <w:tab w:val="left" w:pos="1701"/>
        </w:tabs>
        <w:spacing w:before="120" w:after="0"/>
        <w:ind w:left="1701" w:hanging="1701"/>
        <w:rPr>
          <w:b/>
          <w:i/>
          <w:sz w:val="24"/>
          <w:szCs w:val="24"/>
        </w:rPr>
      </w:pPr>
      <w:proofErr w:type="gramStart"/>
      <w:r w:rsidRPr="00C21B25">
        <w:rPr>
          <w:b/>
          <w:i/>
          <w:sz w:val="24"/>
          <w:szCs w:val="24"/>
        </w:rPr>
        <w:t xml:space="preserve">P o u č e n í : </w:t>
      </w:r>
      <w:r w:rsidRPr="00C21B25">
        <w:rPr>
          <w:b/>
          <w:i/>
          <w:sz w:val="24"/>
          <w:szCs w:val="24"/>
        </w:rPr>
        <w:tab/>
        <w:t>Proti</w:t>
      </w:r>
      <w:proofErr w:type="gramEnd"/>
      <w:r w:rsidRPr="00C21B25">
        <w:rPr>
          <w:b/>
          <w:i/>
          <w:sz w:val="24"/>
          <w:szCs w:val="24"/>
        </w:rPr>
        <w:t xml:space="preserve"> rozhodnutí Ústavního soudu se nelze odvolat (§ 54 odst. 2 zákona o Ústavním soudu).</w:t>
      </w:r>
    </w:p>
    <w:p w:rsidR="003955B6" w:rsidRDefault="003955B6" w:rsidP="003955B6">
      <w:pPr>
        <w:rPr>
          <w:szCs w:val="24"/>
        </w:rPr>
      </w:pPr>
    </w:p>
    <w:p w:rsidR="003955B6" w:rsidRPr="00C21B25" w:rsidRDefault="003955B6" w:rsidP="003955B6">
      <w:pPr>
        <w:rPr>
          <w:szCs w:val="24"/>
        </w:rPr>
      </w:pPr>
      <w:r w:rsidRPr="00C21B25">
        <w:rPr>
          <w:szCs w:val="24"/>
        </w:rPr>
        <w:t xml:space="preserve">V Brně dne </w:t>
      </w:r>
      <w:r w:rsidR="005712DA">
        <w:rPr>
          <w:szCs w:val="24"/>
        </w:rPr>
        <w:t>10. března</w:t>
      </w:r>
      <w:r w:rsidR="00DF0588">
        <w:rPr>
          <w:szCs w:val="24"/>
        </w:rPr>
        <w:t xml:space="preserve"> 2015</w:t>
      </w:r>
    </w:p>
    <w:p w:rsidR="003955B6" w:rsidRDefault="003955B6" w:rsidP="003955B6">
      <w:pPr>
        <w:rPr>
          <w:szCs w:val="24"/>
        </w:rPr>
      </w:pPr>
    </w:p>
    <w:p w:rsidR="003955B6" w:rsidRPr="00C21B25" w:rsidRDefault="003955B6" w:rsidP="003955B6">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Radovan Suchánek</w:t>
      </w:r>
    </w:p>
    <w:p w:rsidR="00B62CA5" w:rsidRDefault="003955B6" w:rsidP="00160B04">
      <w:pPr>
        <w:rPr>
          <w:szCs w:val="24"/>
        </w:rPr>
      </w:pPr>
      <w:r w:rsidRPr="00C21B25">
        <w:rPr>
          <w:szCs w:val="24"/>
        </w:rPr>
        <w:tab/>
      </w:r>
      <w:r w:rsidRPr="00C21B25">
        <w:rPr>
          <w:szCs w:val="24"/>
        </w:rPr>
        <w:tab/>
      </w:r>
      <w:r w:rsidRPr="00C21B25">
        <w:rPr>
          <w:szCs w:val="24"/>
        </w:rPr>
        <w:tab/>
      </w:r>
      <w:r w:rsidRPr="00C21B25">
        <w:rPr>
          <w:szCs w:val="24"/>
        </w:rPr>
        <w:tab/>
      </w:r>
      <w:r w:rsidRPr="00C21B25">
        <w:rPr>
          <w:szCs w:val="24"/>
        </w:rPr>
        <w:tab/>
      </w:r>
      <w:r w:rsidRPr="00C21B25">
        <w:rPr>
          <w:szCs w:val="24"/>
        </w:rPr>
        <w:tab/>
      </w:r>
      <w:r w:rsidRPr="00C21B25">
        <w:rPr>
          <w:szCs w:val="24"/>
        </w:rPr>
        <w:tab/>
      </w:r>
      <w:r>
        <w:rPr>
          <w:szCs w:val="24"/>
        </w:rPr>
        <w:tab/>
      </w:r>
      <w:r>
        <w:rPr>
          <w:szCs w:val="24"/>
        </w:rPr>
        <w:tab/>
        <w:t xml:space="preserve">    </w:t>
      </w:r>
      <w:r>
        <w:rPr>
          <w:szCs w:val="24"/>
        </w:rPr>
        <w:tab/>
        <w:t xml:space="preserve">   </w:t>
      </w:r>
      <w:r w:rsidRPr="00C21B25">
        <w:rPr>
          <w:szCs w:val="24"/>
        </w:rPr>
        <w:t>předsed</w:t>
      </w:r>
      <w:r>
        <w:rPr>
          <w:szCs w:val="24"/>
        </w:rPr>
        <w:t>a</w:t>
      </w:r>
      <w:r w:rsidRPr="00C21B25">
        <w:rPr>
          <w:szCs w:val="24"/>
        </w:rPr>
        <w:t xml:space="preserve"> senátu</w:t>
      </w:r>
    </w:p>
    <w:p w:rsidR="00B62CA5" w:rsidRPr="00F63A11" w:rsidRDefault="00B62CA5">
      <w:pPr>
        <w:pStyle w:val="Odstavecseseznamem"/>
        <w:ind w:left="284"/>
        <w:jc w:val="both"/>
        <w:rPr>
          <w:szCs w:val="24"/>
        </w:rPr>
      </w:pPr>
    </w:p>
    <w:sectPr w:rsidR="00B62CA5" w:rsidRPr="00F63A11" w:rsidSect="00EA164A">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40A" w:rsidRDefault="00C0540A" w:rsidP="00F2447F">
      <w:r>
        <w:separator/>
      </w:r>
    </w:p>
  </w:endnote>
  <w:endnote w:type="continuationSeparator" w:id="0">
    <w:p w:rsidR="00C0540A" w:rsidRDefault="00C0540A" w:rsidP="00F24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419195"/>
      <w:docPartObj>
        <w:docPartGallery w:val="Page Numbers (Bottom of Page)"/>
        <w:docPartUnique/>
      </w:docPartObj>
    </w:sdtPr>
    <w:sdtContent>
      <w:p w:rsidR="00EA164A" w:rsidRDefault="0031031A">
        <w:pPr>
          <w:pStyle w:val="Zpat"/>
          <w:jc w:val="center"/>
        </w:pPr>
        <w:r>
          <w:fldChar w:fldCharType="begin"/>
        </w:r>
        <w:r w:rsidR="00EA164A">
          <w:instrText>PAGE   \* MERGEFORMAT</w:instrText>
        </w:r>
        <w:r>
          <w:fldChar w:fldCharType="separate"/>
        </w:r>
        <w:r w:rsidR="001659CB">
          <w:rPr>
            <w:noProof/>
          </w:rPr>
          <w:t>1</w:t>
        </w:r>
        <w:r>
          <w:fldChar w:fldCharType="end"/>
        </w:r>
      </w:p>
    </w:sdtContent>
  </w:sdt>
  <w:p w:rsidR="00EA164A" w:rsidRDefault="00EA16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40A" w:rsidRDefault="00C0540A" w:rsidP="00F2447F">
      <w:r>
        <w:separator/>
      </w:r>
    </w:p>
  </w:footnote>
  <w:footnote w:type="continuationSeparator" w:id="0">
    <w:p w:rsidR="00C0540A" w:rsidRDefault="00C0540A" w:rsidP="00F24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37" w:rsidRDefault="002B2137" w:rsidP="00403C51">
    <w:pPr>
      <w:pStyle w:val="Zhlav"/>
      <w:jc w:val="right"/>
    </w:pPr>
    <w:r>
      <w:t>II. ÚS 2050/14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3F" w:rsidRDefault="004E063F">
    <w:pPr>
      <w:pStyle w:val="Zhlav"/>
    </w:pPr>
    <w:r>
      <w:tab/>
    </w:r>
    <w:r>
      <w:tab/>
    </w:r>
    <w:r>
      <w:tab/>
      <w:t>II. ÚS 2050/14</w:t>
    </w:r>
  </w:p>
  <w:p w:rsidR="004E063F" w:rsidRDefault="004E063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C1B"/>
    <w:multiLevelType w:val="singleLevel"/>
    <w:tmpl w:val="04050013"/>
    <w:lvl w:ilvl="0">
      <w:start w:val="1"/>
      <w:numFmt w:val="upperRoman"/>
      <w:lvlText w:val="%1."/>
      <w:lvlJc w:val="left"/>
      <w:pPr>
        <w:tabs>
          <w:tab w:val="num" w:pos="720"/>
        </w:tabs>
        <w:ind w:left="720" w:hanging="720"/>
      </w:pPr>
      <w:rPr>
        <w:rFonts w:hint="default"/>
      </w:rPr>
    </w:lvl>
  </w:abstractNum>
  <w:abstractNum w:abstractNumId="1">
    <w:nsid w:val="0AC37924"/>
    <w:multiLevelType w:val="singleLevel"/>
    <w:tmpl w:val="04050013"/>
    <w:lvl w:ilvl="0">
      <w:start w:val="1"/>
      <w:numFmt w:val="upperRoman"/>
      <w:lvlText w:val="%1."/>
      <w:lvlJc w:val="left"/>
      <w:pPr>
        <w:tabs>
          <w:tab w:val="num" w:pos="720"/>
        </w:tabs>
        <w:ind w:left="720" w:hanging="720"/>
      </w:pPr>
      <w:rPr>
        <w:rFonts w:hint="default"/>
      </w:rPr>
    </w:lvl>
  </w:abstractNum>
  <w:abstractNum w:abstractNumId="2">
    <w:nsid w:val="12822DB4"/>
    <w:multiLevelType w:val="hybridMultilevel"/>
    <w:tmpl w:val="8FBA3D88"/>
    <w:lvl w:ilvl="0" w:tplc="0405000F">
      <w:start w:val="1"/>
      <w:numFmt w:val="decimal"/>
      <w:lvlText w:val="%1."/>
      <w:lvlJc w:val="left"/>
      <w:pPr>
        <w:ind w:left="360"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F57755A"/>
    <w:multiLevelType w:val="hybridMultilevel"/>
    <w:tmpl w:val="8FA0670C"/>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C17196"/>
    <w:multiLevelType w:val="hybridMultilevel"/>
    <w:tmpl w:val="8FBA3D8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nsid w:val="238F54ED"/>
    <w:multiLevelType w:val="hybridMultilevel"/>
    <w:tmpl w:val="6A666CF4"/>
    <w:lvl w:ilvl="0" w:tplc="5852BD42">
      <w:start w:val="1"/>
      <w:numFmt w:val="decimal"/>
      <w:pStyle w:val="NormlnslovanOdstavec"/>
      <w:lvlText w:val="%1."/>
      <w:lvlJc w:val="left"/>
      <w:pPr>
        <w:tabs>
          <w:tab w:val="num" w:pos="567"/>
        </w:tabs>
        <w:ind w:left="0" w:firstLine="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61D2BF2"/>
    <w:multiLevelType w:val="hybridMultilevel"/>
    <w:tmpl w:val="17C2EE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8610DA4"/>
    <w:multiLevelType w:val="hybridMultilevel"/>
    <w:tmpl w:val="8FBA3D8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nsid w:val="3D896964"/>
    <w:multiLevelType w:val="hybridMultilevel"/>
    <w:tmpl w:val="8FBA3D8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
    <w:nsid w:val="521A6E05"/>
    <w:multiLevelType w:val="hybridMultilevel"/>
    <w:tmpl w:val="8FBA3D8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nsid w:val="55B6615C"/>
    <w:multiLevelType w:val="hybridMultilevel"/>
    <w:tmpl w:val="8FBA3D8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nsid w:val="5D513002"/>
    <w:multiLevelType w:val="hybridMultilevel"/>
    <w:tmpl w:val="D76021E2"/>
    <w:lvl w:ilvl="0" w:tplc="86EA57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0800C7"/>
    <w:multiLevelType w:val="hybridMultilevel"/>
    <w:tmpl w:val="84DC49EC"/>
    <w:lvl w:ilvl="0" w:tplc="3BDCB36A">
      <w:start w:val="1"/>
      <w:numFmt w:val="decimal"/>
      <w:lvlText w:val="%1."/>
      <w:lvlJc w:val="left"/>
      <w:pPr>
        <w:tabs>
          <w:tab w:val="num" w:pos="1778"/>
        </w:tabs>
        <w:ind w:left="1778" w:hanging="360"/>
      </w:pPr>
      <w:rPr>
        <w:b w:val="0"/>
        <w:i w:val="0"/>
      </w:rPr>
    </w:lvl>
    <w:lvl w:ilvl="1" w:tplc="BDEC8268">
      <w:start w:val="1"/>
      <w:numFmt w:val="upperLetter"/>
      <w:lvlText w:val="%2)"/>
      <w:lvlJc w:val="left"/>
      <w:pPr>
        <w:tabs>
          <w:tab w:val="num" w:pos="1530"/>
        </w:tabs>
        <w:ind w:left="1530" w:hanging="450"/>
      </w:pPr>
      <w:rPr>
        <w:rFonts w:hint="default"/>
      </w:rPr>
    </w:lvl>
    <w:lvl w:ilvl="2" w:tplc="B67EAF7E">
      <w:start w:val="1"/>
      <w:numFmt w:val="lowerLetter"/>
      <w:lvlText w:val="%3)"/>
      <w:lvlJc w:val="left"/>
      <w:pPr>
        <w:tabs>
          <w:tab w:val="num" w:pos="2340"/>
        </w:tabs>
        <w:ind w:left="2340" w:hanging="360"/>
      </w:pPr>
      <w:rPr>
        <w:rFonts w:hint="default"/>
      </w:rPr>
    </w:lvl>
    <w:lvl w:ilvl="3" w:tplc="2A30E524">
      <w:start w:val="1"/>
      <w:numFmt w:val="lowerLetter"/>
      <w:lvlText w:val="%4.)"/>
      <w:lvlJc w:val="left"/>
      <w:pPr>
        <w:tabs>
          <w:tab w:val="num" w:pos="2940"/>
        </w:tabs>
        <w:ind w:left="2940" w:hanging="4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01521CF"/>
    <w:multiLevelType w:val="hybridMultilevel"/>
    <w:tmpl w:val="8FBA3D8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nsid w:val="704A1693"/>
    <w:multiLevelType w:val="hybridMultilevel"/>
    <w:tmpl w:val="564AEC80"/>
    <w:lvl w:ilvl="0" w:tplc="EEE6AA64">
      <w:start w:val="1"/>
      <w:numFmt w:val="decimal"/>
      <w:lvlText w:val="%1."/>
      <w:lvlJc w:val="left"/>
      <w:pPr>
        <w:ind w:left="1683" w:hanging="9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76434659"/>
    <w:multiLevelType w:val="hybridMultilevel"/>
    <w:tmpl w:val="8FBA3D8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1"/>
  </w:num>
  <w:num w:numId="2">
    <w:abstractNumId w:val="4"/>
  </w:num>
  <w:num w:numId="3">
    <w:abstractNumId w:val="14"/>
  </w:num>
  <w:num w:numId="4">
    <w:abstractNumId w:val="2"/>
  </w:num>
  <w:num w:numId="5">
    <w:abstractNumId w:val="13"/>
  </w:num>
  <w:num w:numId="6">
    <w:abstractNumId w:val="15"/>
  </w:num>
  <w:num w:numId="7">
    <w:abstractNumId w:val="9"/>
  </w:num>
  <w:num w:numId="8">
    <w:abstractNumId w:val="7"/>
  </w:num>
  <w:num w:numId="9">
    <w:abstractNumId w:val="8"/>
  </w:num>
  <w:num w:numId="10">
    <w:abstractNumId w:val="10"/>
  </w:num>
  <w:num w:numId="11">
    <w:abstractNumId w:val="3"/>
  </w:num>
  <w:num w:numId="12">
    <w:abstractNumId w:val="6"/>
  </w:num>
  <w:num w:numId="13">
    <w:abstractNumId w:val="12"/>
  </w:num>
  <w:num w:numId="14">
    <w:abstractNumId w:val="5"/>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5641E"/>
    <w:rsid w:val="00002080"/>
    <w:rsid w:val="000028F3"/>
    <w:rsid w:val="00007CAE"/>
    <w:rsid w:val="00012583"/>
    <w:rsid w:val="00012603"/>
    <w:rsid w:val="0001413A"/>
    <w:rsid w:val="00015D45"/>
    <w:rsid w:val="00017050"/>
    <w:rsid w:val="00020A0E"/>
    <w:rsid w:val="000217FC"/>
    <w:rsid w:val="00022512"/>
    <w:rsid w:val="00022CC7"/>
    <w:rsid w:val="0002398D"/>
    <w:rsid w:val="00024D28"/>
    <w:rsid w:val="0002545C"/>
    <w:rsid w:val="00025A80"/>
    <w:rsid w:val="00026902"/>
    <w:rsid w:val="00036216"/>
    <w:rsid w:val="00041780"/>
    <w:rsid w:val="0005177C"/>
    <w:rsid w:val="00051B60"/>
    <w:rsid w:val="0005242E"/>
    <w:rsid w:val="00057F36"/>
    <w:rsid w:val="00061137"/>
    <w:rsid w:val="00064EEA"/>
    <w:rsid w:val="00066E21"/>
    <w:rsid w:val="0007158A"/>
    <w:rsid w:val="0007460C"/>
    <w:rsid w:val="00075AD5"/>
    <w:rsid w:val="00080F22"/>
    <w:rsid w:val="00091585"/>
    <w:rsid w:val="00091BD0"/>
    <w:rsid w:val="00095340"/>
    <w:rsid w:val="00097A6E"/>
    <w:rsid w:val="000A2834"/>
    <w:rsid w:val="000C54CA"/>
    <w:rsid w:val="000C7966"/>
    <w:rsid w:val="000D4138"/>
    <w:rsid w:val="000D6215"/>
    <w:rsid w:val="000D6C82"/>
    <w:rsid w:val="000E1558"/>
    <w:rsid w:val="000E2444"/>
    <w:rsid w:val="000F058F"/>
    <w:rsid w:val="000F17CC"/>
    <w:rsid w:val="000F2C39"/>
    <w:rsid w:val="000F5F1D"/>
    <w:rsid w:val="001006D9"/>
    <w:rsid w:val="00102B69"/>
    <w:rsid w:val="00104CB4"/>
    <w:rsid w:val="00113868"/>
    <w:rsid w:val="00122184"/>
    <w:rsid w:val="001253A7"/>
    <w:rsid w:val="00127505"/>
    <w:rsid w:val="0013440C"/>
    <w:rsid w:val="00144BBD"/>
    <w:rsid w:val="001522F5"/>
    <w:rsid w:val="00154AF3"/>
    <w:rsid w:val="00155E81"/>
    <w:rsid w:val="00160B04"/>
    <w:rsid w:val="00160C07"/>
    <w:rsid w:val="00162CE2"/>
    <w:rsid w:val="001659CB"/>
    <w:rsid w:val="00166FCB"/>
    <w:rsid w:val="00177E45"/>
    <w:rsid w:val="001950C3"/>
    <w:rsid w:val="00196813"/>
    <w:rsid w:val="001A3835"/>
    <w:rsid w:val="001A5B38"/>
    <w:rsid w:val="001C02B2"/>
    <w:rsid w:val="001C05C3"/>
    <w:rsid w:val="001C3A82"/>
    <w:rsid w:val="001F03BC"/>
    <w:rsid w:val="00200447"/>
    <w:rsid w:val="00204AD5"/>
    <w:rsid w:val="00214946"/>
    <w:rsid w:val="002538E6"/>
    <w:rsid w:val="002650CC"/>
    <w:rsid w:val="002652F8"/>
    <w:rsid w:val="0026582C"/>
    <w:rsid w:val="002717A1"/>
    <w:rsid w:val="00276D09"/>
    <w:rsid w:val="002803D8"/>
    <w:rsid w:val="00284412"/>
    <w:rsid w:val="00287552"/>
    <w:rsid w:val="00287F6E"/>
    <w:rsid w:val="0029154B"/>
    <w:rsid w:val="00294171"/>
    <w:rsid w:val="00294C3B"/>
    <w:rsid w:val="002B0C30"/>
    <w:rsid w:val="002B0FE8"/>
    <w:rsid w:val="002B2137"/>
    <w:rsid w:val="002B324A"/>
    <w:rsid w:val="002B6820"/>
    <w:rsid w:val="002C1710"/>
    <w:rsid w:val="002C1FC2"/>
    <w:rsid w:val="002C7308"/>
    <w:rsid w:val="002C748B"/>
    <w:rsid w:val="002D0813"/>
    <w:rsid w:val="002D67FB"/>
    <w:rsid w:val="002E6530"/>
    <w:rsid w:val="002F2E28"/>
    <w:rsid w:val="002F673B"/>
    <w:rsid w:val="00302C61"/>
    <w:rsid w:val="0031031A"/>
    <w:rsid w:val="00323322"/>
    <w:rsid w:val="00336DC8"/>
    <w:rsid w:val="0034364F"/>
    <w:rsid w:val="003447FE"/>
    <w:rsid w:val="00347B5E"/>
    <w:rsid w:val="00352DEA"/>
    <w:rsid w:val="003558B4"/>
    <w:rsid w:val="00356794"/>
    <w:rsid w:val="00365C15"/>
    <w:rsid w:val="003737DF"/>
    <w:rsid w:val="00383822"/>
    <w:rsid w:val="003955B6"/>
    <w:rsid w:val="003A0DDF"/>
    <w:rsid w:val="003A6654"/>
    <w:rsid w:val="003C243A"/>
    <w:rsid w:val="003D3446"/>
    <w:rsid w:val="003E72CF"/>
    <w:rsid w:val="003F14DB"/>
    <w:rsid w:val="003F1C3D"/>
    <w:rsid w:val="003F4938"/>
    <w:rsid w:val="0040391E"/>
    <w:rsid w:val="00403C51"/>
    <w:rsid w:val="00414FE1"/>
    <w:rsid w:val="00420C31"/>
    <w:rsid w:val="0042237D"/>
    <w:rsid w:val="00427F43"/>
    <w:rsid w:val="00440DAA"/>
    <w:rsid w:val="004437D1"/>
    <w:rsid w:val="00453394"/>
    <w:rsid w:val="00457922"/>
    <w:rsid w:val="00467F33"/>
    <w:rsid w:val="004703EC"/>
    <w:rsid w:val="00484547"/>
    <w:rsid w:val="004868E7"/>
    <w:rsid w:val="00497184"/>
    <w:rsid w:val="004A3487"/>
    <w:rsid w:val="004A6FDA"/>
    <w:rsid w:val="004B65AD"/>
    <w:rsid w:val="004C445D"/>
    <w:rsid w:val="004C73E9"/>
    <w:rsid w:val="004D07C9"/>
    <w:rsid w:val="004D28BB"/>
    <w:rsid w:val="004E063F"/>
    <w:rsid w:val="004E41BA"/>
    <w:rsid w:val="004E63DC"/>
    <w:rsid w:val="004F212E"/>
    <w:rsid w:val="004F4BF8"/>
    <w:rsid w:val="00505491"/>
    <w:rsid w:val="0051398E"/>
    <w:rsid w:val="005155B3"/>
    <w:rsid w:val="00521514"/>
    <w:rsid w:val="00521762"/>
    <w:rsid w:val="00523412"/>
    <w:rsid w:val="005309E2"/>
    <w:rsid w:val="0053689D"/>
    <w:rsid w:val="005374DB"/>
    <w:rsid w:val="00542FF1"/>
    <w:rsid w:val="00544040"/>
    <w:rsid w:val="00545338"/>
    <w:rsid w:val="0055362F"/>
    <w:rsid w:val="00557116"/>
    <w:rsid w:val="005572D9"/>
    <w:rsid w:val="0055767C"/>
    <w:rsid w:val="005712DA"/>
    <w:rsid w:val="00575E2B"/>
    <w:rsid w:val="005764E5"/>
    <w:rsid w:val="00577886"/>
    <w:rsid w:val="005A1821"/>
    <w:rsid w:val="005A334D"/>
    <w:rsid w:val="005A42D7"/>
    <w:rsid w:val="005A6A2E"/>
    <w:rsid w:val="005A7898"/>
    <w:rsid w:val="005B1543"/>
    <w:rsid w:val="005D45C1"/>
    <w:rsid w:val="005E0DD3"/>
    <w:rsid w:val="005E1E18"/>
    <w:rsid w:val="005F2058"/>
    <w:rsid w:val="005F5C6F"/>
    <w:rsid w:val="00602482"/>
    <w:rsid w:val="00603C27"/>
    <w:rsid w:val="0060468A"/>
    <w:rsid w:val="00614FF5"/>
    <w:rsid w:val="00617EF8"/>
    <w:rsid w:val="0062189C"/>
    <w:rsid w:val="00626BC7"/>
    <w:rsid w:val="00630934"/>
    <w:rsid w:val="00633879"/>
    <w:rsid w:val="00633DCF"/>
    <w:rsid w:val="0063477D"/>
    <w:rsid w:val="00642199"/>
    <w:rsid w:val="0064230F"/>
    <w:rsid w:val="006466AC"/>
    <w:rsid w:val="006570B5"/>
    <w:rsid w:val="0066024F"/>
    <w:rsid w:val="00666A9D"/>
    <w:rsid w:val="00672F2E"/>
    <w:rsid w:val="00675202"/>
    <w:rsid w:val="00675D0A"/>
    <w:rsid w:val="00676083"/>
    <w:rsid w:val="006801DC"/>
    <w:rsid w:val="00682783"/>
    <w:rsid w:val="0069768F"/>
    <w:rsid w:val="006A1766"/>
    <w:rsid w:val="006B06F5"/>
    <w:rsid w:val="006B3BDB"/>
    <w:rsid w:val="006B5B0F"/>
    <w:rsid w:val="006C24F3"/>
    <w:rsid w:val="006C3E6D"/>
    <w:rsid w:val="006C3FE8"/>
    <w:rsid w:val="006D1238"/>
    <w:rsid w:val="006D7806"/>
    <w:rsid w:val="006D7F80"/>
    <w:rsid w:val="006E093B"/>
    <w:rsid w:val="006E1987"/>
    <w:rsid w:val="006E22DD"/>
    <w:rsid w:val="0070107C"/>
    <w:rsid w:val="00703475"/>
    <w:rsid w:val="00711A2B"/>
    <w:rsid w:val="00717F3F"/>
    <w:rsid w:val="00723DA6"/>
    <w:rsid w:val="00724F53"/>
    <w:rsid w:val="0073138B"/>
    <w:rsid w:val="00736FFF"/>
    <w:rsid w:val="00737B8D"/>
    <w:rsid w:val="00740A57"/>
    <w:rsid w:val="0074136F"/>
    <w:rsid w:val="007466B9"/>
    <w:rsid w:val="007474BF"/>
    <w:rsid w:val="00753603"/>
    <w:rsid w:val="00754A89"/>
    <w:rsid w:val="00763FE7"/>
    <w:rsid w:val="00764353"/>
    <w:rsid w:val="00777B2F"/>
    <w:rsid w:val="00780640"/>
    <w:rsid w:val="00790F55"/>
    <w:rsid w:val="00795AA6"/>
    <w:rsid w:val="007969F4"/>
    <w:rsid w:val="007A1DA2"/>
    <w:rsid w:val="007A7BA4"/>
    <w:rsid w:val="007B31A2"/>
    <w:rsid w:val="007C42A9"/>
    <w:rsid w:val="007C5174"/>
    <w:rsid w:val="007D0177"/>
    <w:rsid w:val="007D09CE"/>
    <w:rsid w:val="007D119E"/>
    <w:rsid w:val="007D3619"/>
    <w:rsid w:val="007E143E"/>
    <w:rsid w:val="007E78F4"/>
    <w:rsid w:val="007E7E4F"/>
    <w:rsid w:val="007F540F"/>
    <w:rsid w:val="00800DDB"/>
    <w:rsid w:val="00810D20"/>
    <w:rsid w:val="008163B5"/>
    <w:rsid w:val="00817C29"/>
    <w:rsid w:val="00821606"/>
    <w:rsid w:val="00823D39"/>
    <w:rsid w:val="00847D93"/>
    <w:rsid w:val="008505B9"/>
    <w:rsid w:val="0085661D"/>
    <w:rsid w:val="00856AF5"/>
    <w:rsid w:val="00866AA4"/>
    <w:rsid w:val="0087522B"/>
    <w:rsid w:val="00876715"/>
    <w:rsid w:val="0089260F"/>
    <w:rsid w:val="00894909"/>
    <w:rsid w:val="008A2778"/>
    <w:rsid w:val="008A3885"/>
    <w:rsid w:val="008A4647"/>
    <w:rsid w:val="008A6D0D"/>
    <w:rsid w:val="008B1352"/>
    <w:rsid w:val="008B3A87"/>
    <w:rsid w:val="008C07FD"/>
    <w:rsid w:val="008C13F6"/>
    <w:rsid w:val="008C4851"/>
    <w:rsid w:val="008D111A"/>
    <w:rsid w:val="008D4B37"/>
    <w:rsid w:val="008E0289"/>
    <w:rsid w:val="008E14EB"/>
    <w:rsid w:val="008E363D"/>
    <w:rsid w:val="008E45E1"/>
    <w:rsid w:val="008F035F"/>
    <w:rsid w:val="008F1CBD"/>
    <w:rsid w:val="008F2FEE"/>
    <w:rsid w:val="00904F81"/>
    <w:rsid w:val="00916956"/>
    <w:rsid w:val="009210F3"/>
    <w:rsid w:val="00923F03"/>
    <w:rsid w:val="00924181"/>
    <w:rsid w:val="00925313"/>
    <w:rsid w:val="00925DEB"/>
    <w:rsid w:val="0092638B"/>
    <w:rsid w:val="00927179"/>
    <w:rsid w:val="0093622A"/>
    <w:rsid w:val="00937D94"/>
    <w:rsid w:val="009676D2"/>
    <w:rsid w:val="009766EF"/>
    <w:rsid w:val="00980B5E"/>
    <w:rsid w:val="00982766"/>
    <w:rsid w:val="009845E3"/>
    <w:rsid w:val="00984BE6"/>
    <w:rsid w:val="0098616C"/>
    <w:rsid w:val="009A20BB"/>
    <w:rsid w:val="009A2FF7"/>
    <w:rsid w:val="009A5643"/>
    <w:rsid w:val="009B0036"/>
    <w:rsid w:val="009B2830"/>
    <w:rsid w:val="009C45D0"/>
    <w:rsid w:val="009D3A57"/>
    <w:rsid w:val="009D3CF6"/>
    <w:rsid w:val="009D4158"/>
    <w:rsid w:val="009D73C4"/>
    <w:rsid w:val="009E16D9"/>
    <w:rsid w:val="009E1DA7"/>
    <w:rsid w:val="009E3E9B"/>
    <w:rsid w:val="009E618D"/>
    <w:rsid w:val="009F718B"/>
    <w:rsid w:val="009F7800"/>
    <w:rsid w:val="00A02597"/>
    <w:rsid w:val="00A03291"/>
    <w:rsid w:val="00A04B6C"/>
    <w:rsid w:val="00A15B41"/>
    <w:rsid w:val="00A20C41"/>
    <w:rsid w:val="00A25EDA"/>
    <w:rsid w:val="00A26D83"/>
    <w:rsid w:val="00A33B82"/>
    <w:rsid w:val="00A35463"/>
    <w:rsid w:val="00A400A8"/>
    <w:rsid w:val="00A423D8"/>
    <w:rsid w:val="00A4513B"/>
    <w:rsid w:val="00A4640B"/>
    <w:rsid w:val="00A50F6D"/>
    <w:rsid w:val="00A5110F"/>
    <w:rsid w:val="00A67612"/>
    <w:rsid w:val="00A72DD7"/>
    <w:rsid w:val="00A82EEF"/>
    <w:rsid w:val="00A83AD6"/>
    <w:rsid w:val="00A86F2B"/>
    <w:rsid w:val="00A870DB"/>
    <w:rsid w:val="00A90493"/>
    <w:rsid w:val="00A9568E"/>
    <w:rsid w:val="00A9653F"/>
    <w:rsid w:val="00AA3E73"/>
    <w:rsid w:val="00AA4CC2"/>
    <w:rsid w:val="00AA5385"/>
    <w:rsid w:val="00AB2FD4"/>
    <w:rsid w:val="00AC3A72"/>
    <w:rsid w:val="00AC4AB0"/>
    <w:rsid w:val="00AC5A0B"/>
    <w:rsid w:val="00AE0542"/>
    <w:rsid w:val="00AE3BB8"/>
    <w:rsid w:val="00AE5CED"/>
    <w:rsid w:val="00AE78BB"/>
    <w:rsid w:val="00AF2E22"/>
    <w:rsid w:val="00AF4E5E"/>
    <w:rsid w:val="00AF6E87"/>
    <w:rsid w:val="00B0029F"/>
    <w:rsid w:val="00B03B49"/>
    <w:rsid w:val="00B047C6"/>
    <w:rsid w:val="00B04A23"/>
    <w:rsid w:val="00B11467"/>
    <w:rsid w:val="00B137E9"/>
    <w:rsid w:val="00B20878"/>
    <w:rsid w:val="00B213BC"/>
    <w:rsid w:val="00B242CA"/>
    <w:rsid w:val="00B264C2"/>
    <w:rsid w:val="00B339F5"/>
    <w:rsid w:val="00B34024"/>
    <w:rsid w:val="00B3524A"/>
    <w:rsid w:val="00B3692F"/>
    <w:rsid w:val="00B36E45"/>
    <w:rsid w:val="00B40162"/>
    <w:rsid w:val="00B45C03"/>
    <w:rsid w:val="00B57100"/>
    <w:rsid w:val="00B62CA5"/>
    <w:rsid w:val="00B703EC"/>
    <w:rsid w:val="00B77803"/>
    <w:rsid w:val="00B83867"/>
    <w:rsid w:val="00B84401"/>
    <w:rsid w:val="00B90624"/>
    <w:rsid w:val="00B91579"/>
    <w:rsid w:val="00B95610"/>
    <w:rsid w:val="00BA1CA9"/>
    <w:rsid w:val="00BB1804"/>
    <w:rsid w:val="00BC5275"/>
    <w:rsid w:val="00BD6111"/>
    <w:rsid w:val="00BE37D9"/>
    <w:rsid w:val="00BE3F84"/>
    <w:rsid w:val="00BF34E5"/>
    <w:rsid w:val="00BF6812"/>
    <w:rsid w:val="00BF79DB"/>
    <w:rsid w:val="00C01EB8"/>
    <w:rsid w:val="00C03A34"/>
    <w:rsid w:val="00C0540A"/>
    <w:rsid w:val="00C14CB1"/>
    <w:rsid w:val="00C22B29"/>
    <w:rsid w:val="00C23695"/>
    <w:rsid w:val="00C33EEA"/>
    <w:rsid w:val="00C379D1"/>
    <w:rsid w:val="00C4273F"/>
    <w:rsid w:val="00C44179"/>
    <w:rsid w:val="00C45955"/>
    <w:rsid w:val="00C4686B"/>
    <w:rsid w:val="00C50A6B"/>
    <w:rsid w:val="00C5564A"/>
    <w:rsid w:val="00C5667F"/>
    <w:rsid w:val="00C8259B"/>
    <w:rsid w:val="00C848B4"/>
    <w:rsid w:val="00C84F06"/>
    <w:rsid w:val="00C93A12"/>
    <w:rsid w:val="00CC2A0D"/>
    <w:rsid w:val="00CC63A3"/>
    <w:rsid w:val="00CC74A8"/>
    <w:rsid w:val="00CD1EC2"/>
    <w:rsid w:val="00CD771B"/>
    <w:rsid w:val="00CF1A67"/>
    <w:rsid w:val="00CF1E0C"/>
    <w:rsid w:val="00CF6FD3"/>
    <w:rsid w:val="00D00E84"/>
    <w:rsid w:val="00D01A24"/>
    <w:rsid w:val="00D01C93"/>
    <w:rsid w:val="00D07A5F"/>
    <w:rsid w:val="00D13C86"/>
    <w:rsid w:val="00D15D92"/>
    <w:rsid w:val="00D30104"/>
    <w:rsid w:val="00D330A0"/>
    <w:rsid w:val="00D35B95"/>
    <w:rsid w:val="00D404C6"/>
    <w:rsid w:val="00D4370D"/>
    <w:rsid w:val="00D44D82"/>
    <w:rsid w:val="00D45D76"/>
    <w:rsid w:val="00D4762C"/>
    <w:rsid w:val="00D50957"/>
    <w:rsid w:val="00D50E49"/>
    <w:rsid w:val="00D53C4A"/>
    <w:rsid w:val="00D657F0"/>
    <w:rsid w:val="00D9132C"/>
    <w:rsid w:val="00D92CD9"/>
    <w:rsid w:val="00D93804"/>
    <w:rsid w:val="00DA465B"/>
    <w:rsid w:val="00DA4F7C"/>
    <w:rsid w:val="00DB054E"/>
    <w:rsid w:val="00DB0F5C"/>
    <w:rsid w:val="00DB24AB"/>
    <w:rsid w:val="00DB6658"/>
    <w:rsid w:val="00DD2DB1"/>
    <w:rsid w:val="00DD4000"/>
    <w:rsid w:val="00DD70C5"/>
    <w:rsid w:val="00DE35BF"/>
    <w:rsid w:val="00DE570F"/>
    <w:rsid w:val="00DF0588"/>
    <w:rsid w:val="00DF3D1D"/>
    <w:rsid w:val="00DF5E0B"/>
    <w:rsid w:val="00DF65E8"/>
    <w:rsid w:val="00E0010B"/>
    <w:rsid w:val="00E003E2"/>
    <w:rsid w:val="00E027FC"/>
    <w:rsid w:val="00E02E0D"/>
    <w:rsid w:val="00E038C7"/>
    <w:rsid w:val="00E111B6"/>
    <w:rsid w:val="00E11866"/>
    <w:rsid w:val="00E238EF"/>
    <w:rsid w:val="00E31083"/>
    <w:rsid w:val="00E3155C"/>
    <w:rsid w:val="00E3381A"/>
    <w:rsid w:val="00E45D3E"/>
    <w:rsid w:val="00E5641E"/>
    <w:rsid w:val="00E65D01"/>
    <w:rsid w:val="00E751A4"/>
    <w:rsid w:val="00E77FA9"/>
    <w:rsid w:val="00E80710"/>
    <w:rsid w:val="00E85CB9"/>
    <w:rsid w:val="00E911EA"/>
    <w:rsid w:val="00E91327"/>
    <w:rsid w:val="00E9538F"/>
    <w:rsid w:val="00EA164A"/>
    <w:rsid w:val="00EA6794"/>
    <w:rsid w:val="00EB2294"/>
    <w:rsid w:val="00EB6371"/>
    <w:rsid w:val="00EC28C0"/>
    <w:rsid w:val="00ED3E38"/>
    <w:rsid w:val="00EE18EB"/>
    <w:rsid w:val="00EE4640"/>
    <w:rsid w:val="00EE4743"/>
    <w:rsid w:val="00EE6801"/>
    <w:rsid w:val="00EF7FFB"/>
    <w:rsid w:val="00F01092"/>
    <w:rsid w:val="00F03324"/>
    <w:rsid w:val="00F04EE6"/>
    <w:rsid w:val="00F063AA"/>
    <w:rsid w:val="00F07FF4"/>
    <w:rsid w:val="00F2447F"/>
    <w:rsid w:val="00F33E6F"/>
    <w:rsid w:val="00F4664B"/>
    <w:rsid w:val="00F5221E"/>
    <w:rsid w:val="00F526B3"/>
    <w:rsid w:val="00F533F8"/>
    <w:rsid w:val="00F56021"/>
    <w:rsid w:val="00F56834"/>
    <w:rsid w:val="00F64815"/>
    <w:rsid w:val="00F74B60"/>
    <w:rsid w:val="00F848BF"/>
    <w:rsid w:val="00F864EC"/>
    <w:rsid w:val="00F87491"/>
    <w:rsid w:val="00F9341A"/>
    <w:rsid w:val="00F94250"/>
    <w:rsid w:val="00FA0027"/>
    <w:rsid w:val="00FA4D45"/>
    <w:rsid w:val="00FA763A"/>
    <w:rsid w:val="00FB381C"/>
    <w:rsid w:val="00FB6B85"/>
    <w:rsid w:val="00FC12E1"/>
    <w:rsid w:val="00FC25B3"/>
    <w:rsid w:val="00FC7B21"/>
    <w:rsid w:val="00FD0BD2"/>
    <w:rsid w:val="00FD2131"/>
    <w:rsid w:val="00FD3AFC"/>
    <w:rsid w:val="00FD5EFF"/>
    <w:rsid w:val="00FD61F5"/>
    <w:rsid w:val="00FD7ADC"/>
    <w:rsid w:val="00FE03FB"/>
    <w:rsid w:val="00FE3A4B"/>
    <w:rsid w:val="00FE42FF"/>
    <w:rsid w:val="00FE5198"/>
    <w:rsid w:val="00FE78CD"/>
    <w:rsid w:val="00FF1C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E4F"/>
    <w:pPr>
      <w:spacing w:after="0" w:line="240" w:lineRule="auto"/>
    </w:pPr>
    <w:rPr>
      <w:rFonts w:ascii="Times New Roman" w:hAnsi="Times New Roman"/>
      <w:sz w:val="24"/>
    </w:rPr>
  </w:style>
  <w:style w:type="paragraph" w:styleId="Nadpis1">
    <w:name w:val="heading 1"/>
    <w:basedOn w:val="Normln"/>
    <w:next w:val="Normln"/>
    <w:link w:val="Nadpis1Char"/>
    <w:qFormat/>
    <w:rsid w:val="006C3FE8"/>
    <w:pPr>
      <w:keepNext/>
      <w:jc w:val="both"/>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24F3"/>
    <w:rPr>
      <w:rFonts w:ascii="Tahoma" w:hAnsi="Tahoma" w:cs="Tahoma"/>
      <w:sz w:val="16"/>
      <w:szCs w:val="16"/>
    </w:rPr>
  </w:style>
  <w:style w:type="character" w:customStyle="1" w:styleId="TextbublinyChar">
    <w:name w:val="Text bubliny Char"/>
    <w:basedOn w:val="Standardnpsmoodstavce"/>
    <w:link w:val="Textbubliny"/>
    <w:uiPriority w:val="99"/>
    <w:semiHidden/>
    <w:rsid w:val="006C24F3"/>
    <w:rPr>
      <w:rFonts w:ascii="Tahoma" w:hAnsi="Tahoma" w:cs="Tahoma"/>
      <w:sz w:val="16"/>
      <w:szCs w:val="16"/>
    </w:rPr>
  </w:style>
  <w:style w:type="paragraph" w:styleId="Zhlav">
    <w:name w:val="header"/>
    <w:basedOn w:val="Normln"/>
    <w:link w:val="ZhlavChar"/>
    <w:uiPriority w:val="99"/>
    <w:rsid w:val="006C24F3"/>
    <w:pPr>
      <w:tabs>
        <w:tab w:val="left" w:pos="425"/>
        <w:tab w:val="center" w:pos="4536"/>
        <w:tab w:val="right" w:pos="9072"/>
      </w:tabs>
      <w:jc w:val="both"/>
    </w:pPr>
    <w:rPr>
      <w:rFonts w:eastAsia="Times New Roman" w:cs="Times New Roman"/>
      <w:szCs w:val="20"/>
      <w:lang w:eastAsia="cs-CZ"/>
    </w:rPr>
  </w:style>
  <w:style w:type="character" w:customStyle="1" w:styleId="ZhlavChar">
    <w:name w:val="Záhlaví Char"/>
    <w:basedOn w:val="Standardnpsmoodstavce"/>
    <w:link w:val="Zhlav"/>
    <w:uiPriority w:val="99"/>
    <w:rsid w:val="006C24F3"/>
    <w:rPr>
      <w:rFonts w:ascii="Times New Roman" w:eastAsia="Times New Roman" w:hAnsi="Times New Roman" w:cs="Times New Roman"/>
      <w:sz w:val="24"/>
      <w:szCs w:val="20"/>
      <w:lang w:eastAsia="cs-CZ"/>
    </w:rPr>
  </w:style>
  <w:style w:type="paragraph" w:styleId="Zkladntext">
    <w:name w:val="Body Text"/>
    <w:basedOn w:val="Normln"/>
    <w:link w:val="ZkladntextChar"/>
    <w:rsid w:val="006C24F3"/>
    <w:pPr>
      <w:tabs>
        <w:tab w:val="left" w:pos="425"/>
      </w:tabs>
      <w:jc w:val="both"/>
    </w:pPr>
    <w:rPr>
      <w:rFonts w:ascii="Arial" w:eastAsia="Times New Roman" w:hAnsi="Arial" w:cs="Times New Roman"/>
      <w:szCs w:val="20"/>
      <w:lang w:eastAsia="cs-CZ"/>
    </w:rPr>
  </w:style>
  <w:style w:type="character" w:customStyle="1" w:styleId="ZkladntextChar">
    <w:name w:val="Základní text Char"/>
    <w:basedOn w:val="Standardnpsmoodstavce"/>
    <w:link w:val="Zkladntext"/>
    <w:rsid w:val="006C24F3"/>
    <w:rPr>
      <w:rFonts w:ascii="Arial" w:eastAsia="Times New Roman" w:hAnsi="Arial" w:cs="Times New Roman"/>
      <w:sz w:val="24"/>
      <w:szCs w:val="20"/>
      <w:lang w:eastAsia="cs-CZ"/>
    </w:rPr>
  </w:style>
  <w:style w:type="paragraph" w:styleId="Zpat">
    <w:name w:val="footer"/>
    <w:basedOn w:val="Normln"/>
    <w:link w:val="ZpatChar"/>
    <w:uiPriority w:val="99"/>
    <w:unhideWhenUsed/>
    <w:rsid w:val="00F2447F"/>
    <w:pPr>
      <w:tabs>
        <w:tab w:val="center" w:pos="4536"/>
        <w:tab w:val="right" w:pos="9072"/>
      </w:tabs>
    </w:pPr>
  </w:style>
  <w:style w:type="character" w:customStyle="1" w:styleId="ZpatChar">
    <w:name w:val="Zápatí Char"/>
    <w:basedOn w:val="Standardnpsmoodstavce"/>
    <w:link w:val="Zpat"/>
    <w:uiPriority w:val="99"/>
    <w:rsid w:val="00F2447F"/>
    <w:rPr>
      <w:rFonts w:ascii="Times New Roman" w:hAnsi="Times New Roman"/>
      <w:sz w:val="24"/>
    </w:rPr>
  </w:style>
  <w:style w:type="paragraph" w:styleId="Odstavecseseznamem">
    <w:name w:val="List Paragraph"/>
    <w:basedOn w:val="Normln"/>
    <w:uiPriority w:val="34"/>
    <w:qFormat/>
    <w:rsid w:val="00A4640B"/>
    <w:pPr>
      <w:ind w:left="720"/>
      <w:contextualSpacing/>
    </w:pPr>
  </w:style>
  <w:style w:type="character" w:styleId="Hypertextovodkaz">
    <w:name w:val="Hyperlink"/>
    <w:basedOn w:val="Standardnpsmoodstavce"/>
    <w:uiPriority w:val="99"/>
    <w:unhideWhenUsed/>
    <w:rsid w:val="00276D09"/>
    <w:rPr>
      <w:color w:val="0000FF" w:themeColor="hyperlink"/>
      <w:u w:val="single"/>
    </w:rPr>
  </w:style>
  <w:style w:type="paragraph" w:styleId="Zkladntext3">
    <w:name w:val="Body Text 3"/>
    <w:basedOn w:val="Normln"/>
    <w:link w:val="Zkladntext3Char"/>
    <w:rsid w:val="00A26D83"/>
    <w:pPr>
      <w:tabs>
        <w:tab w:val="left" w:pos="425"/>
      </w:tabs>
      <w:overflowPunct w:val="0"/>
      <w:autoSpaceDE w:val="0"/>
      <w:autoSpaceDN w:val="0"/>
      <w:adjustRightInd w:val="0"/>
      <w:spacing w:after="120"/>
      <w:jc w:val="both"/>
      <w:textAlignment w:val="baseline"/>
    </w:pPr>
    <w:rPr>
      <w:rFonts w:eastAsia="Times New Roman" w:cs="Times New Roman"/>
      <w:sz w:val="16"/>
      <w:szCs w:val="16"/>
      <w:lang w:eastAsia="cs-CZ"/>
    </w:rPr>
  </w:style>
  <w:style w:type="character" w:customStyle="1" w:styleId="Zkladntext3Char">
    <w:name w:val="Základní text 3 Char"/>
    <w:basedOn w:val="Standardnpsmoodstavce"/>
    <w:link w:val="Zkladntext3"/>
    <w:rsid w:val="00A26D83"/>
    <w:rPr>
      <w:rFonts w:ascii="Times New Roman" w:eastAsia="Times New Roman" w:hAnsi="Times New Roman" w:cs="Times New Roman"/>
      <w:sz w:val="16"/>
      <w:szCs w:val="16"/>
      <w:lang w:eastAsia="cs-CZ"/>
    </w:rPr>
  </w:style>
  <w:style w:type="paragraph" w:customStyle="1" w:styleId="NormlnslovanOdstavec">
    <w:name w:val="NormálníČíslovanýOdstavec"/>
    <w:basedOn w:val="Normln"/>
    <w:rsid w:val="003955B6"/>
    <w:pPr>
      <w:numPr>
        <w:numId w:val="14"/>
      </w:numPr>
      <w:tabs>
        <w:tab w:val="num" w:pos="425"/>
      </w:tabs>
      <w:overflowPunct w:val="0"/>
      <w:autoSpaceDE w:val="0"/>
      <w:autoSpaceDN w:val="0"/>
      <w:adjustRightInd w:val="0"/>
      <w:jc w:val="both"/>
      <w:textAlignment w:val="baseline"/>
    </w:pPr>
    <w:rPr>
      <w:rFonts w:eastAsia="Times New Roman" w:cs="Times New Roman"/>
      <w:szCs w:val="20"/>
      <w:lang w:eastAsia="cs-CZ"/>
    </w:rPr>
  </w:style>
  <w:style w:type="character" w:customStyle="1" w:styleId="Nadpis1Char">
    <w:name w:val="Nadpis 1 Char"/>
    <w:basedOn w:val="Standardnpsmoodstavce"/>
    <w:link w:val="Nadpis1"/>
    <w:rsid w:val="006C3FE8"/>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7E4F"/>
    <w:pPr>
      <w:spacing w:after="0" w:line="240" w:lineRule="auto"/>
    </w:pPr>
    <w:rPr>
      <w:rFonts w:ascii="Times New Roman" w:hAnsi="Times New Roman"/>
      <w:sz w:val="24"/>
    </w:rPr>
  </w:style>
  <w:style w:type="paragraph" w:styleId="Nadpis1">
    <w:name w:val="heading 1"/>
    <w:basedOn w:val="Normln"/>
    <w:next w:val="Normln"/>
    <w:link w:val="Nadpis1Char"/>
    <w:qFormat/>
    <w:rsid w:val="006C3FE8"/>
    <w:pPr>
      <w:keepNext/>
      <w:jc w:val="both"/>
      <w:outlineLvl w:val="0"/>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24F3"/>
    <w:rPr>
      <w:rFonts w:ascii="Tahoma" w:hAnsi="Tahoma" w:cs="Tahoma"/>
      <w:sz w:val="16"/>
      <w:szCs w:val="16"/>
    </w:rPr>
  </w:style>
  <w:style w:type="character" w:customStyle="1" w:styleId="TextbublinyChar">
    <w:name w:val="Text bubliny Char"/>
    <w:basedOn w:val="Standardnpsmoodstavce"/>
    <w:link w:val="Textbubliny"/>
    <w:uiPriority w:val="99"/>
    <w:semiHidden/>
    <w:rsid w:val="006C24F3"/>
    <w:rPr>
      <w:rFonts w:ascii="Tahoma" w:hAnsi="Tahoma" w:cs="Tahoma"/>
      <w:sz w:val="16"/>
      <w:szCs w:val="16"/>
    </w:rPr>
  </w:style>
  <w:style w:type="paragraph" w:styleId="Zhlav">
    <w:name w:val="header"/>
    <w:basedOn w:val="Normln"/>
    <w:link w:val="ZhlavChar"/>
    <w:uiPriority w:val="99"/>
    <w:rsid w:val="006C24F3"/>
    <w:pPr>
      <w:tabs>
        <w:tab w:val="left" w:pos="425"/>
        <w:tab w:val="center" w:pos="4536"/>
        <w:tab w:val="right" w:pos="9072"/>
      </w:tabs>
      <w:jc w:val="both"/>
    </w:pPr>
    <w:rPr>
      <w:rFonts w:eastAsia="Times New Roman" w:cs="Times New Roman"/>
      <w:szCs w:val="20"/>
      <w:lang w:eastAsia="cs-CZ"/>
    </w:rPr>
  </w:style>
  <w:style w:type="character" w:customStyle="1" w:styleId="ZhlavChar">
    <w:name w:val="Záhlaví Char"/>
    <w:basedOn w:val="Standardnpsmoodstavce"/>
    <w:link w:val="Zhlav"/>
    <w:uiPriority w:val="99"/>
    <w:rsid w:val="006C24F3"/>
    <w:rPr>
      <w:rFonts w:ascii="Times New Roman" w:eastAsia="Times New Roman" w:hAnsi="Times New Roman" w:cs="Times New Roman"/>
      <w:sz w:val="24"/>
      <w:szCs w:val="20"/>
      <w:lang w:eastAsia="cs-CZ"/>
    </w:rPr>
  </w:style>
  <w:style w:type="paragraph" w:styleId="Zkladntext">
    <w:name w:val="Body Text"/>
    <w:basedOn w:val="Normln"/>
    <w:link w:val="ZkladntextChar"/>
    <w:rsid w:val="006C24F3"/>
    <w:pPr>
      <w:tabs>
        <w:tab w:val="left" w:pos="425"/>
      </w:tabs>
      <w:jc w:val="both"/>
    </w:pPr>
    <w:rPr>
      <w:rFonts w:ascii="Arial" w:eastAsia="Times New Roman" w:hAnsi="Arial" w:cs="Times New Roman"/>
      <w:szCs w:val="20"/>
      <w:lang w:eastAsia="cs-CZ"/>
    </w:rPr>
  </w:style>
  <w:style w:type="character" w:customStyle="1" w:styleId="ZkladntextChar">
    <w:name w:val="Základní text Char"/>
    <w:basedOn w:val="Standardnpsmoodstavce"/>
    <w:link w:val="Zkladntext"/>
    <w:rsid w:val="006C24F3"/>
    <w:rPr>
      <w:rFonts w:ascii="Arial" w:eastAsia="Times New Roman" w:hAnsi="Arial" w:cs="Times New Roman"/>
      <w:sz w:val="24"/>
      <w:szCs w:val="20"/>
      <w:lang w:eastAsia="cs-CZ"/>
    </w:rPr>
  </w:style>
  <w:style w:type="paragraph" w:styleId="Zpat">
    <w:name w:val="footer"/>
    <w:basedOn w:val="Normln"/>
    <w:link w:val="ZpatChar"/>
    <w:uiPriority w:val="99"/>
    <w:unhideWhenUsed/>
    <w:rsid w:val="00F2447F"/>
    <w:pPr>
      <w:tabs>
        <w:tab w:val="center" w:pos="4536"/>
        <w:tab w:val="right" w:pos="9072"/>
      </w:tabs>
    </w:pPr>
  </w:style>
  <w:style w:type="character" w:customStyle="1" w:styleId="ZpatChar">
    <w:name w:val="Zápatí Char"/>
    <w:basedOn w:val="Standardnpsmoodstavce"/>
    <w:link w:val="Zpat"/>
    <w:uiPriority w:val="99"/>
    <w:rsid w:val="00F2447F"/>
    <w:rPr>
      <w:rFonts w:ascii="Times New Roman" w:hAnsi="Times New Roman"/>
      <w:sz w:val="24"/>
    </w:rPr>
  </w:style>
  <w:style w:type="paragraph" w:styleId="Odstavecseseznamem">
    <w:name w:val="List Paragraph"/>
    <w:basedOn w:val="Normln"/>
    <w:uiPriority w:val="34"/>
    <w:qFormat/>
    <w:rsid w:val="00A4640B"/>
    <w:pPr>
      <w:ind w:left="720"/>
      <w:contextualSpacing/>
    </w:pPr>
  </w:style>
  <w:style w:type="character" w:styleId="Hypertextovodkaz">
    <w:name w:val="Hyperlink"/>
    <w:basedOn w:val="Standardnpsmoodstavce"/>
    <w:uiPriority w:val="99"/>
    <w:unhideWhenUsed/>
    <w:rsid w:val="00276D09"/>
    <w:rPr>
      <w:color w:val="0000FF" w:themeColor="hyperlink"/>
      <w:u w:val="single"/>
    </w:rPr>
  </w:style>
  <w:style w:type="paragraph" w:styleId="Zkladntext3">
    <w:name w:val="Body Text 3"/>
    <w:basedOn w:val="Normln"/>
    <w:link w:val="Zkladntext3Char"/>
    <w:rsid w:val="00A26D83"/>
    <w:pPr>
      <w:tabs>
        <w:tab w:val="left" w:pos="425"/>
      </w:tabs>
      <w:overflowPunct w:val="0"/>
      <w:autoSpaceDE w:val="0"/>
      <w:autoSpaceDN w:val="0"/>
      <w:adjustRightInd w:val="0"/>
      <w:spacing w:after="120"/>
      <w:jc w:val="both"/>
      <w:textAlignment w:val="baseline"/>
    </w:pPr>
    <w:rPr>
      <w:rFonts w:eastAsia="Times New Roman" w:cs="Times New Roman"/>
      <w:sz w:val="16"/>
      <w:szCs w:val="16"/>
      <w:lang w:eastAsia="cs-CZ"/>
    </w:rPr>
  </w:style>
  <w:style w:type="character" w:customStyle="1" w:styleId="Zkladntext3Char">
    <w:name w:val="Základní text 3 Char"/>
    <w:basedOn w:val="Standardnpsmoodstavce"/>
    <w:link w:val="Zkladntext3"/>
    <w:rsid w:val="00A26D83"/>
    <w:rPr>
      <w:rFonts w:ascii="Times New Roman" w:eastAsia="Times New Roman" w:hAnsi="Times New Roman" w:cs="Times New Roman"/>
      <w:sz w:val="16"/>
      <w:szCs w:val="16"/>
      <w:lang w:eastAsia="cs-CZ"/>
    </w:rPr>
  </w:style>
  <w:style w:type="paragraph" w:customStyle="1" w:styleId="NormlnslovanOdstavec">
    <w:name w:val="NormálníČíslovanýOdstavec"/>
    <w:basedOn w:val="Normln"/>
    <w:rsid w:val="003955B6"/>
    <w:pPr>
      <w:numPr>
        <w:numId w:val="14"/>
      </w:numPr>
      <w:tabs>
        <w:tab w:val="num" w:pos="425"/>
      </w:tabs>
      <w:overflowPunct w:val="0"/>
      <w:autoSpaceDE w:val="0"/>
      <w:autoSpaceDN w:val="0"/>
      <w:adjustRightInd w:val="0"/>
      <w:jc w:val="both"/>
      <w:textAlignment w:val="baseline"/>
    </w:pPr>
    <w:rPr>
      <w:rFonts w:eastAsia="Times New Roman" w:cs="Times New Roman"/>
      <w:szCs w:val="20"/>
      <w:lang w:eastAsia="cs-CZ"/>
    </w:rPr>
  </w:style>
  <w:style w:type="character" w:customStyle="1" w:styleId="Nadpis1Char">
    <w:name w:val="Nadpis 1 Char"/>
    <w:basedOn w:val="Standardnpsmoodstavce"/>
    <w:link w:val="Nadpis1"/>
    <w:rsid w:val="006C3FE8"/>
    <w:rPr>
      <w:rFonts w:ascii="Times New Roman" w:eastAsia="Times New Roman" w:hAnsi="Times New Roman" w:cs="Times New Roman"/>
      <w:b/>
      <w:sz w:val="24"/>
      <w:szCs w:val="20"/>
      <w:lang w:eastAsia="cs-CZ"/>
    </w:rPr>
  </w:style>
</w:styles>
</file>

<file path=word/webSettings.xml><?xml version="1.0" encoding="utf-8"?>
<w:webSettings xmlns:r="http://schemas.openxmlformats.org/officeDocument/2006/relationships" xmlns:w="http://schemas.openxmlformats.org/wordprocessingml/2006/main">
  <w:divs>
    <w:div w:id="325859648">
      <w:bodyDiv w:val="1"/>
      <w:marLeft w:val="0"/>
      <w:marRight w:val="0"/>
      <w:marTop w:val="0"/>
      <w:marBottom w:val="0"/>
      <w:divBdr>
        <w:top w:val="none" w:sz="0" w:space="0" w:color="auto"/>
        <w:left w:val="none" w:sz="0" w:space="0" w:color="auto"/>
        <w:bottom w:val="none" w:sz="0" w:space="0" w:color="auto"/>
        <w:right w:val="none" w:sz="0" w:space="0" w:color="auto"/>
      </w:divBdr>
    </w:div>
    <w:div w:id="916480807">
      <w:bodyDiv w:val="1"/>
      <w:marLeft w:val="0"/>
      <w:marRight w:val="0"/>
      <w:marTop w:val="0"/>
      <w:marBottom w:val="0"/>
      <w:divBdr>
        <w:top w:val="none" w:sz="0" w:space="0" w:color="auto"/>
        <w:left w:val="none" w:sz="0" w:space="0" w:color="auto"/>
        <w:bottom w:val="none" w:sz="0" w:space="0" w:color="auto"/>
        <w:right w:val="none" w:sz="0" w:space="0" w:color="auto"/>
      </w:divBdr>
    </w:div>
    <w:div w:id="1056323448">
      <w:bodyDiv w:val="1"/>
      <w:marLeft w:val="0"/>
      <w:marRight w:val="0"/>
      <w:marTop w:val="0"/>
      <w:marBottom w:val="0"/>
      <w:divBdr>
        <w:top w:val="none" w:sz="0" w:space="0" w:color="auto"/>
        <w:left w:val="none" w:sz="0" w:space="0" w:color="auto"/>
        <w:bottom w:val="none" w:sz="0" w:space="0" w:color="auto"/>
        <w:right w:val="none" w:sz="0" w:space="0" w:color="auto"/>
      </w:divBdr>
    </w:div>
    <w:div w:id="11202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6FAA-AE76-4B87-9940-C9EBB03A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5933</Words>
  <Characters>34006</Characters>
  <Application>Microsoft Office Word</Application>
  <DocSecurity>0</DocSecurity>
  <Lines>494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Vyborny Stepan</dc:creator>
  <cp:lastModifiedBy>policar</cp:lastModifiedBy>
  <cp:revision>5</cp:revision>
  <cp:lastPrinted>2015-03-09T12:54:00Z</cp:lastPrinted>
  <dcterms:created xsi:type="dcterms:W3CDTF">2015-03-31T14:58:00Z</dcterms:created>
  <dcterms:modified xsi:type="dcterms:W3CDTF">2015-03-31T14:59:00Z</dcterms:modified>
</cp:coreProperties>
</file>